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E5F6" w14:textId="45CE7CF7" w:rsidR="00537191" w:rsidRPr="00537191" w:rsidRDefault="00537191" w:rsidP="00903A2F">
      <w:pPr>
        <w:jc w:val="both"/>
        <w:rPr>
          <w:rFonts w:cs="Calibri"/>
          <w:b/>
          <w:bCs/>
          <w:sz w:val="36"/>
          <w:szCs w:val="36"/>
        </w:rPr>
      </w:pPr>
      <w:r w:rsidRPr="00537191">
        <w:rPr>
          <w:rFonts w:cs="Calibri"/>
          <w:b/>
          <w:bCs/>
          <w:sz w:val="36"/>
          <w:szCs w:val="36"/>
        </w:rPr>
        <w:t>Αναλυτικά η έρευνα</w:t>
      </w:r>
    </w:p>
    <w:p w14:paraId="791C42ED" w14:textId="77777777" w:rsidR="002F63B6" w:rsidRPr="00537191" w:rsidRDefault="002F63B6" w:rsidP="00903A2F">
      <w:pPr>
        <w:jc w:val="both"/>
        <w:rPr>
          <w:rFonts w:cs="Calibri"/>
          <w:sz w:val="36"/>
          <w:szCs w:val="36"/>
        </w:rPr>
      </w:pPr>
      <w:r w:rsidRPr="00537191">
        <w:rPr>
          <w:rFonts w:cs="Calibri"/>
          <w:sz w:val="36"/>
          <w:szCs w:val="36"/>
        </w:rPr>
        <w:t xml:space="preserve">Ένα από τα κυριότερα αντικείμενα μελέτης των πολιτικών υγείας είναι οι θάνατοι που λαμβάνουν χώρα στον ανθρώπινο πληθυσμό, ένα θέμα στο οποίο εστίασε περισσότερο το ενδιαφέρον των ειδικών τα τελευταία χρόνια, λόγω της πανδημίας του κορωνοϊού. Στο παρόν άρθρο εξετάζουμε τον αντίκτυπο που είχε η πανδημία στους θανάτους στην χώρα μας, εξετάζοντας παράλληλα το πρόβλημα αυτό διαχρονικά, κάνοντας μία καταγραφή και ανάλυση των θανάτων στην Ελλάδα. </w:t>
      </w:r>
    </w:p>
    <w:p w14:paraId="4C408558" w14:textId="77777777" w:rsidR="002F63B6" w:rsidRPr="00537191" w:rsidRDefault="002F63B6" w:rsidP="00903A2F">
      <w:pPr>
        <w:jc w:val="both"/>
        <w:rPr>
          <w:rFonts w:cs="Calibri"/>
          <w:color w:val="FF0000"/>
          <w:sz w:val="36"/>
          <w:szCs w:val="36"/>
        </w:rPr>
      </w:pPr>
      <w:r w:rsidRPr="00537191">
        <w:rPr>
          <w:rFonts w:cs="Calibri"/>
          <w:sz w:val="36"/>
          <w:szCs w:val="36"/>
        </w:rPr>
        <w:t>Στον πρώτο πίνακα αποτυπώνονται οι θάνατοι από το 2015 μέχρι και το 2022 με τις ετήσιες μεταβολές που σημειώθηκαν. Φαίνεται λοιπόν, πως τα τελευταία χρόνια πριν την εμφάνιση της πανδημίας υπήρξε μία ετήσια εναλλασσόμενη αυξομείωση στους θανάτους, κάτι που σταμάτησε να συμβαίνει στα δύο πρώτα πανδημικά έτη. Εκεί βλέπουμε αύξηση κατά 5.750 θανάτους το 2020 (4,6%) και 13.298 το 2021 (10,2%), με τους θανάτους να φτάνουν στην μεγαλύτερη καταγεγραμμένη τιμή που έλαβαν ποτέ. Αντιθέτως, το 2022 σημειώθηκε μείωση κατά 3.294 θανάτους (-2,3%), παρ’ όλα αυτά οι θάνατοι ξεπέρασαν τους 140.000 για δεύτερη φορά στην ιστορία καταγραφής τους. Όπως φαίνεται από τους αριθμούς, το μεγαλύτερο ποσοστό της αύξησης των θανάτων κατά τα τρία πανδημικά έτη οφείλεται στον κορωνοϊό</w:t>
      </w:r>
      <w:r w:rsidRPr="00537191">
        <w:rPr>
          <w:rFonts w:cs="Calibri"/>
          <w:color w:val="000000"/>
          <w:sz w:val="36"/>
          <w:szCs w:val="36"/>
        </w:rPr>
        <w:t xml:space="preserve">, αφού αν εξαιρέσουμε τους </w:t>
      </w:r>
      <w:r w:rsidRPr="00537191">
        <w:rPr>
          <w:rFonts w:cs="Calibri"/>
          <w:color w:val="000000"/>
          <w:sz w:val="36"/>
          <w:szCs w:val="36"/>
        </w:rPr>
        <w:lastRenderedPageBreak/>
        <w:t>θανάτους που οφείλονται σε αυτόν, οι μεταβολές είναι πολύ μικρότερες.</w:t>
      </w:r>
      <w:r w:rsidRPr="00537191">
        <w:rPr>
          <w:rFonts w:cs="Calibri"/>
          <w:sz w:val="36"/>
          <w:szCs w:val="36"/>
        </w:rPr>
        <w:t xml:space="preserve"> </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2392"/>
        <w:gridCol w:w="1811"/>
        <w:gridCol w:w="1957"/>
      </w:tblGrid>
      <w:tr w:rsidR="002F63B6" w:rsidRPr="00537191" w14:paraId="5354D6DD" w14:textId="77777777" w:rsidTr="00596D37">
        <w:trPr>
          <w:trHeight w:val="255"/>
        </w:trPr>
        <w:tc>
          <w:tcPr>
            <w:tcW w:w="1260" w:type="dxa"/>
            <w:tcBorders>
              <w:top w:val="single" w:sz="18" w:space="0" w:color="auto"/>
              <w:left w:val="single" w:sz="18" w:space="0" w:color="auto"/>
              <w:bottom w:val="single" w:sz="12" w:space="0" w:color="auto"/>
              <w:right w:val="single" w:sz="12" w:space="0" w:color="auto"/>
            </w:tcBorders>
            <w:noWrap/>
            <w:vAlign w:val="center"/>
          </w:tcPr>
          <w:p w14:paraId="62485590"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Έτος</w:t>
            </w:r>
          </w:p>
        </w:tc>
        <w:tc>
          <w:tcPr>
            <w:tcW w:w="2392" w:type="dxa"/>
            <w:tcBorders>
              <w:top w:val="single" w:sz="18" w:space="0" w:color="auto"/>
              <w:left w:val="single" w:sz="12" w:space="0" w:color="auto"/>
              <w:bottom w:val="single" w:sz="12" w:space="0" w:color="auto"/>
            </w:tcBorders>
            <w:noWrap/>
            <w:vAlign w:val="center"/>
          </w:tcPr>
          <w:p w14:paraId="0C0751ED"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Συνολικοί Θάνατοι</w:t>
            </w:r>
          </w:p>
        </w:tc>
        <w:tc>
          <w:tcPr>
            <w:tcW w:w="1418" w:type="dxa"/>
            <w:tcBorders>
              <w:top w:val="single" w:sz="18" w:space="0" w:color="auto"/>
              <w:bottom w:val="single" w:sz="12" w:space="0" w:color="auto"/>
            </w:tcBorders>
            <w:noWrap/>
            <w:vAlign w:val="center"/>
          </w:tcPr>
          <w:p w14:paraId="0FDEB80F"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Μεταβολή</w:t>
            </w:r>
          </w:p>
        </w:tc>
        <w:tc>
          <w:tcPr>
            <w:tcW w:w="1701" w:type="dxa"/>
            <w:tcBorders>
              <w:top w:val="single" w:sz="18" w:space="0" w:color="auto"/>
              <w:bottom w:val="single" w:sz="12" w:space="0" w:color="auto"/>
              <w:right w:val="single" w:sz="18" w:space="0" w:color="auto"/>
            </w:tcBorders>
            <w:noWrap/>
            <w:vAlign w:val="center"/>
          </w:tcPr>
          <w:p w14:paraId="6E47CB72"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 Μεταβολής</w:t>
            </w:r>
          </w:p>
        </w:tc>
      </w:tr>
      <w:tr w:rsidR="002F63B6" w:rsidRPr="00537191" w14:paraId="730981D6" w14:textId="77777777" w:rsidTr="00596D37">
        <w:trPr>
          <w:trHeight w:val="255"/>
        </w:trPr>
        <w:tc>
          <w:tcPr>
            <w:tcW w:w="1260" w:type="dxa"/>
            <w:tcBorders>
              <w:top w:val="single" w:sz="12" w:space="0" w:color="auto"/>
              <w:left w:val="single" w:sz="18" w:space="0" w:color="auto"/>
              <w:right w:val="single" w:sz="12" w:space="0" w:color="auto"/>
            </w:tcBorders>
            <w:noWrap/>
            <w:vAlign w:val="center"/>
          </w:tcPr>
          <w:p w14:paraId="78C3BF43"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2015</w:t>
            </w:r>
          </w:p>
        </w:tc>
        <w:tc>
          <w:tcPr>
            <w:tcW w:w="2392" w:type="dxa"/>
            <w:tcBorders>
              <w:top w:val="single" w:sz="12" w:space="0" w:color="auto"/>
              <w:left w:val="single" w:sz="12" w:space="0" w:color="auto"/>
            </w:tcBorders>
            <w:noWrap/>
            <w:vAlign w:val="center"/>
          </w:tcPr>
          <w:p w14:paraId="088D6B8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120.755</w:t>
            </w:r>
          </w:p>
        </w:tc>
        <w:tc>
          <w:tcPr>
            <w:tcW w:w="1418" w:type="dxa"/>
            <w:tcBorders>
              <w:top w:val="single" w:sz="12" w:space="0" w:color="auto"/>
            </w:tcBorders>
            <w:noWrap/>
            <w:vAlign w:val="center"/>
          </w:tcPr>
          <w:p w14:paraId="3462A2A9" w14:textId="77777777" w:rsidR="002F63B6" w:rsidRPr="00537191" w:rsidRDefault="002F63B6" w:rsidP="00903A2F">
            <w:pPr>
              <w:spacing w:after="0" w:line="240" w:lineRule="auto"/>
              <w:jc w:val="both"/>
              <w:rPr>
                <w:rFonts w:cs="Calibri"/>
                <w:sz w:val="36"/>
                <w:szCs w:val="36"/>
              </w:rPr>
            </w:pPr>
          </w:p>
        </w:tc>
        <w:tc>
          <w:tcPr>
            <w:tcW w:w="1701" w:type="dxa"/>
            <w:tcBorders>
              <w:top w:val="single" w:sz="12" w:space="0" w:color="auto"/>
              <w:right w:val="single" w:sz="18" w:space="0" w:color="auto"/>
            </w:tcBorders>
            <w:noWrap/>
            <w:vAlign w:val="center"/>
          </w:tcPr>
          <w:p w14:paraId="470702F6" w14:textId="77777777" w:rsidR="002F63B6" w:rsidRPr="00537191" w:rsidRDefault="002F63B6" w:rsidP="00903A2F">
            <w:pPr>
              <w:spacing w:after="0" w:line="240" w:lineRule="auto"/>
              <w:jc w:val="both"/>
              <w:rPr>
                <w:rFonts w:cs="Calibri"/>
                <w:sz w:val="36"/>
                <w:szCs w:val="36"/>
              </w:rPr>
            </w:pPr>
          </w:p>
        </w:tc>
      </w:tr>
      <w:tr w:rsidR="002F63B6" w:rsidRPr="00537191" w14:paraId="7BF0B44C" w14:textId="77777777" w:rsidTr="00596D37">
        <w:trPr>
          <w:trHeight w:val="255"/>
        </w:trPr>
        <w:tc>
          <w:tcPr>
            <w:tcW w:w="1260" w:type="dxa"/>
            <w:tcBorders>
              <w:left w:val="single" w:sz="18" w:space="0" w:color="auto"/>
              <w:right w:val="single" w:sz="12" w:space="0" w:color="auto"/>
            </w:tcBorders>
            <w:noWrap/>
            <w:vAlign w:val="center"/>
          </w:tcPr>
          <w:p w14:paraId="4EC6F337"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(53 εβδ.)</w:t>
            </w:r>
          </w:p>
        </w:tc>
        <w:tc>
          <w:tcPr>
            <w:tcW w:w="2392" w:type="dxa"/>
            <w:tcBorders>
              <w:left w:val="single" w:sz="12" w:space="0" w:color="auto"/>
            </w:tcBorders>
            <w:noWrap/>
            <w:vAlign w:val="center"/>
          </w:tcPr>
          <w:p w14:paraId="416D6437"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123.324</w:t>
            </w:r>
          </w:p>
        </w:tc>
        <w:tc>
          <w:tcPr>
            <w:tcW w:w="1418" w:type="dxa"/>
            <w:noWrap/>
            <w:vAlign w:val="center"/>
          </w:tcPr>
          <w:p w14:paraId="1CAA66A7" w14:textId="77777777" w:rsidR="002F63B6" w:rsidRPr="00537191" w:rsidRDefault="002F63B6" w:rsidP="00903A2F">
            <w:pPr>
              <w:spacing w:after="0" w:line="240" w:lineRule="auto"/>
              <w:jc w:val="both"/>
              <w:rPr>
                <w:rFonts w:cs="Calibri"/>
                <w:sz w:val="36"/>
                <w:szCs w:val="36"/>
              </w:rPr>
            </w:pPr>
          </w:p>
        </w:tc>
        <w:tc>
          <w:tcPr>
            <w:tcW w:w="1701" w:type="dxa"/>
            <w:tcBorders>
              <w:right w:val="single" w:sz="18" w:space="0" w:color="auto"/>
            </w:tcBorders>
            <w:noWrap/>
            <w:vAlign w:val="center"/>
          </w:tcPr>
          <w:p w14:paraId="5030D1E2" w14:textId="77777777" w:rsidR="002F63B6" w:rsidRPr="00537191" w:rsidRDefault="002F63B6" w:rsidP="00903A2F">
            <w:pPr>
              <w:spacing w:after="0" w:line="240" w:lineRule="auto"/>
              <w:jc w:val="both"/>
              <w:rPr>
                <w:rFonts w:cs="Calibri"/>
                <w:sz w:val="36"/>
                <w:szCs w:val="36"/>
              </w:rPr>
            </w:pPr>
          </w:p>
        </w:tc>
      </w:tr>
      <w:tr w:rsidR="002F63B6" w:rsidRPr="00537191" w14:paraId="1E438825" w14:textId="77777777" w:rsidTr="00596D37">
        <w:trPr>
          <w:trHeight w:val="255"/>
        </w:trPr>
        <w:tc>
          <w:tcPr>
            <w:tcW w:w="1260" w:type="dxa"/>
            <w:tcBorders>
              <w:left w:val="single" w:sz="18" w:space="0" w:color="auto"/>
              <w:right w:val="single" w:sz="12" w:space="0" w:color="auto"/>
            </w:tcBorders>
            <w:noWrap/>
            <w:vAlign w:val="center"/>
          </w:tcPr>
          <w:p w14:paraId="5C41C8B6"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2016</w:t>
            </w:r>
          </w:p>
        </w:tc>
        <w:tc>
          <w:tcPr>
            <w:tcW w:w="2392" w:type="dxa"/>
            <w:tcBorders>
              <w:left w:val="single" w:sz="12" w:space="0" w:color="auto"/>
            </w:tcBorders>
            <w:noWrap/>
            <w:vAlign w:val="center"/>
          </w:tcPr>
          <w:p w14:paraId="62BDC6C1"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118.116</w:t>
            </w:r>
          </w:p>
        </w:tc>
        <w:tc>
          <w:tcPr>
            <w:tcW w:w="1418" w:type="dxa"/>
            <w:noWrap/>
            <w:vAlign w:val="center"/>
          </w:tcPr>
          <w:p w14:paraId="257ED5BF" w14:textId="77777777" w:rsidR="002F63B6" w:rsidRPr="00537191" w:rsidRDefault="002F63B6" w:rsidP="00903A2F">
            <w:pPr>
              <w:spacing w:after="0" w:line="240" w:lineRule="auto"/>
              <w:jc w:val="both"/>
              <w:rPr>
                <w:rFonts w:cs="Calibri"/>
                <w:sz w:val="36"/>
                <w:szCs w:val="36"/>
              </w:rPr>
            </w:pPr>
            <w:r w:rsidRPr="00537191">
              <w:rPr>
                <w:rFonts w:cs="Calibri"/>
                <w:sz w:val="36"/>
                <w:szCs w:val="36"/>
              </w:rPr>
              <w:t>-2.639</w:t>
            </w:r>
          </w:p>
        </w:tc>
        <w:tc>
          <w:tcPr>
            <w:tcW w:w="1701" w:type="dxa"/>
            <w:tcBorders>
              <w:right w:val="single" w:sz="18" w:space="0" w:color="auto"/>
            </w:tcBorders>
            <w:noWrap/>
            <w:vAlign w:val="center"/>
          </w:tcPr>
          <w:p w14:paraId="0DDACEF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-2,2</w:t>
            </w:r>
          </w:p>
        </w:tc>
      </w:tr>
      <w:tr w:rsidR="002F63B6" w:rsidRPr="00537191" w14:paraId="517AE0BE" w14:textId="77777777" w:rsidTr="00596D37">
        <w:trPr>
          <w:trHeight w:val="255"/>
        </w:trPr>
        <w:tc>
          <w:tcPr>
            <w:tcW w:w="1260" w:type="dxa"/>
            <w:tcBorders>
              <w:left w:val="single" w:sz="18" w:space="0" w:color="auto"/>
              <w:right w:val="single" w:sz="12" w:space="0" w:color="auto"/>
            </w:tcBorders>
            <w:noWrap/>
            <w:vAlign w:val="center"/>
          </w:tcPr>
          <w:p w14:paraId="1FCAAAD1"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2017</w:t>
            </w:r>
          </w:p>
        </w:tc>
        <w:tc>
          <w:tcPr>
            <w:tcW w:w="2392" w:type="dxa"/>
            <w:tcBorders>
              <w:left w:val="single" w:sz="12" w:space="0" w:color="auto"/>
            </w:tcBorders>
            <w:noWrap/>
            <w:vAlign w:val="center"/>
          </w:tcPr>
          <w:p w14:paraId="3D07D05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124.069</w:t>
            </w:r>
          </w:p>
        </w:tc>
        <w:tc>
          <w:tcPr>
            <w:tcW w:w="1418" w:type="dxa"/>
            <w:noWrap/>
            <w:vAlign w:val="center"/>
          </w:tcPr>
          <w:p w14:paraId="6FCF9CB3"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5.953</w:t>
            </w:r>
          </w:p>
        </w:tc>
        <w:tc>
          <w:tcPr>
            <w:tcW w:w="1701" w:type="dxa"/>
            <w:tcBorders>
              <w:right w:val="single" w:sz="18" w:space="0" w:color="auto"/>
            </w:tcBorders>
            <w:noWrap/>
            <w:vAlign w:val="center"/>
          </w:tcPr>
          <w:p w14:paraId="0ABB60B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5,0</w:t>
            </w:r>
          </w:p>
        </w:tc>
      </w:tr>
      <w:tr w:rsidR="002F63B6" w:rsidRPr="00537191" w14:paraId="6D725008" w14:textId="77777777" w:rsidTr="00596D37">
        <w:trPr>
          <w:trHeight w:val="255"/>
        </w:trPr>
        <w:tc>
          <w:tcPr>
            <w:tcW w:w="1260" w:type="dxa"/>
            <w:tcBorders>
              <w:left w:val="single" w:sz="18" w:space="0" w:color="auto"/>
              <w:right w:val="single" w:sz="12" w:space="0" w:color="auto"/>
            </w:tcBorders>
            <w:noWrap/>
            <w:vAlign w:val="center"/>
          </w:tcPr>
          <w:p w14:paraId="720CA7B2"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2018</w:t>
            </w:r>
          </w:p>
        </w:tc>
        <w:tc>
          <w:tcPr>
            <w:tcW w:w="2392" w:type="dxa"/>
            <w:tcBorders>
              <w:left w:val="single" w:sz="12" w:space="0" w:color="auto"/>
            </w:tcBorders>
            <w:noWrap/>
            <w:vAlign w:val="center"/>
          </w:tcPr>
          <w:p w14:paraId="6A8A4D39"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119.952</w:t>
            </w:r>
          </w:p>
        </w:tc>
        <w:tc>
          <w:tcPr>
            <w:tcW w:w="1418" w:type="dxa"/>
            <w:noWrap/>
            <w:vAlign w:val="center"/>
          </w:tcPr>
          <w:p w14:paraId="56C183C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-4.117</w:t>
            </w:r>
          </w:p>
        </w:tc>
        <w:tc>
          <w:tcPr>
            <w:tcW w:w="1701" w:type="dxa"/>
            <w:tcBorders>
              <w:right w:val="single" w:sz="18" w:space="0" w:color="auto"/>
            </w:tcBorders>
            <w:noWrap/>
            <w:vAlign w:val="center"/>
          </w:tcPr>
          <w:p w14:paraId="58E89393"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-3,3</w:t>
            </w:r>
          </w:p>
        </w:tc>
      </w:tr>
      <w:tr w:rsidR="002F63B6" w:rsidRPr="00537191" w14:paraId="657E2D14" w14:textId="77777777" w:rsidTr="00596D37">
        <w:trPr>
          <w:trHeight w:val="255"/>
        </w:trPr>
        <w:tc>
          <w:tcPr>
            <w:tcW w:w="1260" w:type="dxa"/>
            <w:tcBorders>
              <w:left w:val="single" w:sz="18" w:space="0" w:color="auto"/>
              <w:right w:val="single" w:sz="12" w:space="0" w:color="auto"/>
            </w:tcBorders>
            <w:noWrap/>
            <w:vAlign w:val="center"/>
          </w:tcPr>
          <w:p w14:paraId="557536BF"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2019</w:t>
            </w:r>
          </w:p>
        </w:tc>
        <w:tc>
          <w:tcPr>
            <w:tcW w:w="2392" w:type="dxa"/>
            <w:tcBorders>
              <w:left w:val="single" w:sz="12" w:space="0" w:color="auto"/>
            </w:tcBorders>
            <w:noWrap/>
            <w:vAlign w:val="center"/>
          </w:tcPr>
          <w:p w14:paraId="0CC2105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124.538</w:t>
            </w:r>
          </w:p>
        </w:tc>
        <w:tc>
          <w:tcPr>
            <w:tcW w:w="1418" w:type="dxa"/>
            <w:noWrap/>
            <w:vAlign w:val="center"/>
          </w:tcPr>
          <w:p w14:paraId="0BF969A5" w14:textId="77777777" w:rsidR="002F63B6" w:rsidRPr="00537191" w:rsidRDefault="002F63B6" w:rsidP="00903A2F">
            <w:pPr>
              <w:spacing w:after="0" w:line="240" w:lineRule="auto"/>
              <w:jc w:val="both"/>
              <w:rPr>
                <w:rFonts w:cs="Calibri"/>
                <w:sz w:val="36"/>
                <w:szCs w:val="36"/>
              </w:rPr>
            </w:pPr>
            <w:r w:rsidRPr="00537191">
              <w:rPr>
                <w:rFonts w:cs="Calibri"/>
                <w:sz w:val="36"/>
                <w:szCs w:val="36"/>
              </w:rPr>
              <w:t>4.586</w:t>
            </w:r>
          </w:p>
        </w:tc>
        <w:tc>
          <w:tcPr>
            <w:tcW w:w="1701" w:type="dxa"/>
            <w:tcBorders>
              <w:right w:val="single" w:sz="18" w:space="0" w:color="auto"/>
            </w:tcBorders>
            <w:noWrap/>
            <w:vAlign w:val="center"/>
          </w:tcPr>
          <w:p w14:paraId="7A568D78"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3,8</w:t>
            </w:r>
          </w:p>
        </w:tc>
      </w:tr>
      <w:tr w:rsidR="002F63B6" w:rsidRPr="00537191" w14:paraId="0F7BBA81" w14:textId="77777777" w:rsidTr="00596D37">
        <w:trPr>
          <w:trHeight w:val="255"/>
        </w:trPr>
        <w:tc>
          <w:tcPr>
            <w:tcW w:w="1260" w:type="dxa"/>
            <w:tcBorders>
              <w:left w:val="single" w:sz="18" w:space="0" w:color="auto"/>
              <w:right w:val="single" w:sz="12" w:space="0" w:color="auto"/>
            </w:tcBorders>
            <w:noWrap/>
            <w:vAlign w:val="center"/>
          </w:tcPr>
          <w:p w14:paraId="3494351A"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2020</w:t>
            </w:r>
          </w:p>
        </w:tc>
        <w:tc>
          <w:tcPr>
            <w:tcW w:w="2392" w:type="dxa"/>
            <w:tcBorders>
              <w:left w:val="single" w:sz="12" w:space="0" w:color="auto"/>
            </w:tcBorders>
            <w:noWrap/>
            <w:vAlign w:val="center"/>
          </w:tcPr>
          <w:p w14:paraId="34C6024F"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130.288</w:t>
            </w:r>
          </w:p>
        </w:tc>
        <w:tc>
          <w:tcPr>
            <w:tcW w:w="1418" w:type="dxa"/>
            <w:noWrap/>
            <w:vAlign w:val="center"/>
          </w:tcPr>
          <w:p w14:paraId="2B535EB3"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5.750</w:t>
            </w:r>
          </w:p>
        </w:tc>
        <w:tc>
          <w:tcPr>
            <w:tcW w:w="1701" w:type="dxa"/>
            <w:tcBorders>
              <w:right w:val="single" w:sz="18" w:space="0" w:color="auto"/>
            </w:tcBorders>
            <w:noWrap/>
            <w:vAlign w:val="center"/>
          </w:tcPr>
          <w:p w14:paraId="3864D63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4,6</w:t>
            </w:r>
          </w:p>
        </w:tc>
      </w:tr>
      <w:tr w:rsidR="002F63B6" w:rsidRPr="00537191" w14:paraId="30FBC6E1" w14:textId="77777777" w:rsidTr="00596D37">
        <w:trPr>
          <w:trHeight w:val="255"/>
        </w:trPr>
        <w:tc>
          <w:tcPr>
            <w:tcW w:w="1260" w:type="dxa"/>
            <w:tcBorders>
              <w:left w:val="single" w:sz="18" w:space="0" w:color="auto"/>
              <w:right w:val="single" w:sz="12" w:space="0" w:color="auto"/>
            </w:tcBorders>
            <w:noWrap/>
            <w:vAlign w:val="center"/>
          </w:tcPr>
          <w:p w14:paraId="18AEA043"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(53 εβδ.)</w:t>
            </w:r>
          </w:p>
        </w:tc>
        <w:tc>
          <w:tcPr>
            <w:tcW w:w="2392" w:type="dxa"/>
            <w:tcBorders>
              <w:left w:val="single" w:sz="12" w:space="0" w:color="auto"/>
            </w:tcBorders>
            <w:noWrap/>
            <w:vAlign w:val="center"/>
          </w:tcPr>
          <w:p w14:paraId="7E46E30F"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132.966</w:t>
            </w:r>
          </w:p>
        </w:tc>
        <w:tc>
          <w:tcPr>
            <w:tcW w:w="1418" w:type="dxa"/>
            <w:noWrap/>
            <w:vAlign w:val="center"/>
          </w:tcPr>
          <w:p w14:paraId="0081A38D" w14:textId="77777777" w:rsidR="002F63B6" w:rsidRPr="00537191" w:rsidRDefault="002F63B6" w:rsidP="00903A2F">
            <w:pPr>
              <w:spacing w:after="0" w:line="240" w:lineRule="auto"/>
              <w:jc w:val="both"/>
              <w:rPr>
                <w:rFonts w:cs="Calibri"/>
                <w:sz w:val="36"/>
                <w:szCs w:val="36"/>
              </w:rPr>
            </w:pPr>
          </w:p>
        </w:tc>
        <w:tc>
          <w:tcPr>
            <w:tcW w:w="1701" w:type="dxa"/>
            <w:tcBorders>
              <w:right w:val="single" w:sz="18" w:space="0" w:color="auto"/>
            </w:tcBorders>
            <w:noWrap/>
            <w:vAlign w:val="center"/>
          </w:tcPr>
          <w:p w14:paraId="086BF752" w14:textId="77777777" w:rsidR="002F63B6" w:rsidRPr="00537191" w:rsidRDefault="002F63B6" w:rsidP="00903A2F">
            <w:pPr>
              <w:spacing w:after="0" w:line="240" w:lineRule="auto"/>
              <w:jc w:val="both"/>
              <w:rPr>
                <w:rFonts w:cs="Calibri"/>
                <w:sz w:val="36"/>
                <w:szCs w:val="36"/>
              </w:rPr>
            </w:pPr>
          </w:p>
        </w:tc>
      </w:tr>
      <w:tr w:rsidR="002F63B6" w:rsidRPr="00537191" w14:paraId="7C2260E8" w14:textId="77777777" w:rsidTr="00596D37">
        <w:trPr>
          <w:trHeight w:val="255"/>
        </w:trPr>
        <w:tc>
          <w:tcPr>
            <w:tcW w:w="1260" w:type="dxa"/>
            <w:tcBorders>
              <w:left w:val="single" w:sz="18" w:space="0" w:color="auto"/>
              <w:right w:val="single" w:sz="12" w:space="0" w:color="auto"/>
            </w:tcBorders>
            <w:noWrap/>
            <w:vAlign w:val="center"/>
          </w:tcPr>
          <w:p w14:paraId="46096CA8"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2021</w:t>
            </w:r>
          </w:p>
        </w:tc>
        <w:tc>
          <w:tcPr>
            <w:tcW w:w="2392" w:type="dxa"/>
            <w:tcBorders>
              <w:left w:val="single" w:sz="12" w:space="0" w:color="auto"/>
            </w:tcBorders>
            <w:noWrap/>
            <w:vAlign w:val="center"/>
          </w:tcPr>
          <w:p w14:paraId="729A531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143.586</w:t>
            </w:r>
          </w:p>
        </w:tc>
        <w:tc>
          <w:tcPr>
            <w:tcW w:w="1418" w:type="dxa"/>
            <w:noWrap/>
            <w:vAlign w:val="center"/>
          </w:tcPr>
          <w:p w14:paraId="25728AA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13.298</w:t>
            </w:r>
          </w:p>
        </w:tc>
        <w:tc>
          <w:tcPr>
            <w:tcW w:w="1701" w:type="dxa"/>
            <w:tcBorders>
              <w:right w:val="single" w:sz="18" w:space="0" w:color="auto"/>
            </w:tcBorders>
            <w:noWrap/>
            <w:vAlign w:val="center"/>
          </w:tcPr>
          <w:p w14:paraId="363DCE5C"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10,2</w:t>
            </w:r>
          </w:p>
        </w:tc>
      </w:tr>
      <w:tr w:rsidR="002F63B6" w:rsidRPr="00537191" w14:paraId="2256CBA5" w14:textId="77777777" w:rsidTr="00596D37">
        <w:trPr>
          <w:trHeight w:val="255"/>
        </w:trPr>
        <w:tc>
          <w:tcPr>
            <w:tcW w:w="1260" w:type="dxa"/>
            <w:tcBorders>
              <w:left w:val="single" w:sz="18" w:space="0" w:color="auto"/>
              <w:bottom w:val="single" w:sz="12" w:space="0" w:color="auto"/>
              <w:right w:val="single" w:sz="12" w:space="0" w:color="auto"/>
            </w:tcBorders>
            <w:noWrap/>
            <w:vAlign w:val="center"/>
          </w:tcPr>
          <w:p w14:paraId="4DEC9B0B"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2022</w:t>
            </w:r>
          </w:p>
        </w:tc>
        <w:tc>
          <w:tcPr>
            <w:tcW w:w="2392" w:type="dxa"/>
            <w:tcBorders>
              <w:left w:val="single" w:sz="12" w:space="0" w:color="auto"/>
              <w:bottom w:val="single" w:sz="12" w:space="0" w:color="auto"/>
            </w:tcBorders>
            <w:noWrap/>
            <w:vAlign w:val="center"/>
          </w:tcPr>
          <w:p w14:paraId="0904CB18"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140.292</w:t>
            </w:r>
          </w:p>
        </w:tc>
        <w:tc>
          <w:tcPr>
            <w:tcW w:w="1418" w:type="dxa"/>
            <w:tcBorders>
              <w:bottom w:val="single" w:sz="12" w:space="0" w:color="auto"/>
            </w:tcBorders>
            <w:noWrap/>
            <w:vAlign w:val="center"/>
          </w:tcPr>
          <w:p w14:paraId="17EFFFE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-3.294</w:t>
            </w:r>
          </w:p>
        </w:tc>
        <w:tc>
          <w:tcPr>
            <w:tcW w:w="1701" w:type="dxa"/>
            <w:tcBorders>
              <w:bottom w:val="single" w:sz="12" w:space="0" w:color="auto"/>
              <w:right w:val="single" w:sz="18" w:space="0" w:color="auto"/>
            </w:tcBorders>
            <w:noWrap/>
            <w:vAlign w:val="center"/>
          </w:tcPr>
          <w:p w14:paraId="6D38425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-2,3</w:t>
            </w:r>
          </w:p>
        </w:tc>
      </w:tr>
      <w:tr w:rsidR="002F63B6" w:rsidRPr="00537191" w14:paraId="22A509A4" w14:textId="77777777" w:rsidTr="00596D37">
        <w:trPr>
          <w:trHeight w:val="255"/>
        </w:trPr>
        <w:tc>
          <w:tcPr>
            <w:tcW w:w="1260" w:type="dxa"/>
            <w:tcBorders>
              <w:top w:val="single" w:sz="12" w:space="0" w:color="auto"/>
              <w:left w:val="single" w:sz="18" w:space="0" w:color="auto"/>
              <w:bottom w:val="single" w:sz="12" w:space="0" w:color="auto"/>
              <w:right w:val="single" w:sz="12" w:space="0" w:color="auto"/>
            </w:tcBorders>
            <w:noWrap/>
            <w:vAlign w:val="center"/>
          </w:tcPr>
          <w:p w14:paraId="76CF351B"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Έτος</w:t>
            </w:r>
          </w:p>
        </w:tc>
        <w:tc>
          <w:tcPr>
            <w:tcW w:w="2392" w:type="dxa"/>
            <w:tcBorders>
              <w:top w:val="single" w:sz="12" w:space="0" w:color="auto"/>
              <w:left w:val="single" w:sz="12" w:space="0" w:color="auto"/>
              <w:bottom w:val="single" w:sz="12" w:space="0" w:color="auto"/>
            </w:tcBorders>
            <w:noWrap/>
            <w:vAlign w:val="center"/>
          </w:tcPr>
          <w:p w14:paraId="0635478C"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Θάνατοι εκτός covid</w:t>
            </w:r>
          </w:p>
        </w:tc>
        <w:tc>
          <w:tcPr>
            <w:tcW w:w="1418" w:type="dxa"/>
            <w:tcBorders>
              <w:top w:val="single" w:sz="12" w:space="0" w:color="auto"/>
              <w:bottom w:val="single" w:sz="12" w:space="0" w:color="auto"/>
            </w:tcBorders>
            <w:noWrap/>
            <w:vAlign w:val="center"/>
          </w:tcPr>
          <w:p w14:paraId="4506675A"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Μεταβολή</w:t>
            </w:r>
          </w:p>
        </w:tc>
        <w:tc>
          <w:tcPr>
            <w:tcW w:w="1701" w:type="dxa"/>
            <w:tcBorders>
              <w:top w:val="single" w:sz="12" w:space="0" w:color="auto"/>
              <w:bottom w:val="single" w:sz="12" w:space="0" w:color="auto"/>
              <w:right w:val="single" w:sz="18" w:space="0" w:color="auto"/>
            </w:tcBorders>
            <w:noWrap/>
            <w:vAlign w:val="center"/>
          </w:tcPr>
          <w:p w14:paraId="21B7C8F4"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 Μεταβολής</w:t>
            </w:r>
          </w:p>
        </w:tc>
      </w:tr>
      <w:tr w:rsidR="002F63B6" w:rsidRPr="00537191" w14:paraId="15378DFE" w14:textId="77777777" w:rsidTr="00596D37">
        <w:trPr>
          <w:trHeight w:val="255"/>
        </w:trPr>
        <w:tc>
          <w:tcPr>
            <w:tcW w:w="1260" w:type="dxa"/>
            <w:tcBorders>
              <w:top w:val="single" w:sz="12" w:space="0" w:color="auto"/>
              <w:left w:val="single" w:sz="18" w:space="0" w:color="auto"/>
              <w:right w:val="single" w:sz="12" w:space="0" w:color="auto"/>
            </w:tcBorders>
            <w:noWrap/>
            <w:vAlign w:val="center"/>
          </w:tcPr>
          <w:p w14:paraId="306F999E"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2020</w:t>
            </w:r>
          </w:p>
        </w:tc>
        <w:tc>
          <w:tcPr>
            <w:tcW w:w="2392" w:type="dxa"/>
            <w:tcBorders>
              <w:top w:val="single" w:sz="12" w:space="0" w:color="auto"/>
              <w:left w:val="single" w:sz="12" w:space="0" w:color="auto"/>
            </w:tcBorders>
            <w:noWrap/>
            <w:vAlign w:val="center"/>
          </w:tcPr>
          <w:p w14:paraId="44650F5A"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125.682</w:t>
            </w:r>
          </w:p>
        </w:tc>
        <w:tc>
          <w:tcPr>
            <w:tcW w:w="1418" w:type="dxa"/>
            <w:tcBorders>
              <w:top w:val="single" w:sz="12" w:space="0" w:color="auto"/>
            </w:tcBorders>
            <w:noWrap/>
            <w:vAlign w:val="center"/>
          </w:tcPr>
          <w:p w14:paraId="740AB813"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1.144</w:t>
            </w:r>
          </w:p>
        </w:tc>
        <w:tc>
          <w:tcPr>
            <w:tcW w:w="1701" w:type="dxa"/>
            <w:tcBorders>
              <w:top w:val="single" w:sz="12" w:space="0" w:color="auto"/>
              <w:right w:val="single" w:sz="18" w:space="0" w:color="auto"/>
            </w:tcBorders>
            <w:noWrap/>
            <w:vAlign w:val="center"/>
          </w:tcPr>
          <w:p w14:paraId="5A449C93" w14:textId="77777777" w:rsidR="002F63B6" w:rsidRPr="00537191" w:rsidRDefault="002F63B6" w:rsidP="00903A2F">
            <w:pPr>
              <w:spacing w:after="0" w:line="240" w:lineRule="auto"/>
              <w:jc w:val="both"/>
              <w:rPr>
                <w:rFonts w:cs="Calibri"/>
                <w:sz w:val="36"/>
                <w:szCs w:val="36"/>
                <w:lang w:val="en-US"/>
              </w:rPr>
            </w:pPr>
            <w:r w:rsidRPr="00537191">
              <w:rPr>
                <w:rFonts w:cs="Calibri"/>
                <w:sz w:val="36"/>
                <w:szCs w:val="36"/>
                <w:lang w:val="en-US"/>
              </w:rPr>
              <w:t>0,9</w:t>
            </w:r>
          </w:p>
        </w:tc>
      </w:tr>
      <w:tr w:rsidR="002F63B6" w:rsidRPr="00537191" w14:paraId="5FA5DC77" w14:textId="77777777" w:rsidTr="00596D37">
        <w:trPr>
          <w:trHeight w:val="255"/>
        </w:trPr>
        <w:tc>
          <w:tcPr>
            <w:tcW w:w="1260" w:type="dxa"/>
            <w:tcBorders>
              <w:left w:val="single" w:sz="18" w:space="0" w:color="auto"/>
              <w:right w:val="single" w:sz="12" w:space="0" w:color="auto"/>
            </w:tcBorders>
            <w:noWrap/>
            <w:vAlign w:val="center"/>
          </w:tcPr>
          <w:p w14:paraId="0F4F13E8"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(53 εβδ.)</w:t>
            </w:r>
          </w:p>
        </w:tc>
        <w:tc>
          <w:tcPr>
            <w:tcW w:w="2392" w:type="dxa"/>
            <w:tcBorders>
              <w:left w:val="single" w:sz="12" w:space="0" w:color="auto"/>
            </w:tcBorders>
            <w:noWrap/>
            <w:vAlign w:val="center"/>
          </w:tcPr>
          <w:p w14:paraId="67BB5B75"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128.009</w:t>
            </w:r>
          </w:p>
        </w:tc>
        <w:tc>
          <w:tcPr>
            <w:tcW w:w="1418" w:type="dxa"/>
            <w:noWrap/>
            <w:vAlign w:val="center"/>
          </w:tcPr>
          <w:p w14:paraId="19B08FD7" w14:textId="77777777" w:rsidR="002F63B6" w:rsidRPr="00537191" w:rsidRDefault="002F63B6" w:rsidP="00903A2F">
            <w:pPr>
              <w:spacing w:after="0" w:line="240" w:lineRule="auto"/>
              <w:jc w:val="both"/>
              <w:rPr>
                <w:rFonts w:cs="Calibri"/>
                <w:sz w:val="36"/>
                <w:szCs w:val="36"/>
              </w:rPr>
            </w:pPr>
          </w:p>
        </w:tc>
        <w:tc>
          <w:tcPr>
            <w:tcW w:w="1701" w:type="dxa"/>
            <w:tcBorders>
              <w:right w:val="single" w:sz="18" w:space="0" w:color="auto"/>
            </w:tcBorders>
            <w:noWrap/>
            <w:vAlign w:val="center"/>
          </w:tcPr>
          <w:p w14:paraId="258AFA02" w14:textId="77777777" w:rsidR="002F63B6" w:rsidRPr="00537191" w:rsidRDefault="002F63B6" w:rsidP="00903A2F">
            <w:pPr>
              <w:spacing w:after="0" w:line="240" w:lineRule="auto"/>
              <w:jc w:val="both"/>
              <w:rPr>
                <w:rFonts w:cs="Calibri"/>
                <w:sz w:val="36"/>
                <w:szCs w:val="36"/>
              </w:rPr>
            </w:pPr>
          </w:p>
        </w:tc>
      </w:tr>
      <w:tr w:rsidR="002F63B6" w:rsidRPr="00537191" w14:paraId="5EDC611B" w14:textId="77777777" w:rsidTr="00596D37">
        <w:trPr>
          <w:trHeight w:val="255"/>
        </w:trPr>
        <w:tc>
          <w:tcPr>
            <w:tcW w:w="1260" w:type="dxa"/>
            <w:tcBorders>
              <w:left w:val="single" w:sz="18" w:space="0" w:color="auto"/>
              <w:right w:val="single" w:sz="12" w:space="0" w:color="auto"/>
            </w:tcBorders>
            <w:noWrap/>
            <w:vAlign w:val="center"/>
          </w:tcPr>
          <w:p w14:paraId="7907B4D7"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2021</w:t>
            </w:r>
          </w:p>
        </w:tc>
        <w:tc>
          <w:tcPr>
            <w:tcW w:w="2392" w:type="dxa"/>
            <w:tcBorders>
              <w:left w:val="single" w:sz="12" w:space="0" w:color="auto"/>
            </w:tcBorders>
            <w:noWrap/>
            <w:vAlign w:val="center"/>
          </w:tcPr>
          <w:p w14:paraId="37B1A6B9"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127.633</w:t>
            </w:r>
          </w:p>
        </w:tc>
        <w:tc>
          <w:tcPr>
            <w:tcW w:w="1418" w:type="dxa"/>
            <w:noWrap/>
            <w:vAlign w:val="center"/>
          </w:tcPr>
          <w:p w14:paraId="3555E28C"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1.951</w:t>
            </w:r>
          </w:p>
        </w:tc>
        <w:tc>
          <w:tcPr>
            <w:tcW w:w="1701" w:type="dxa"/>
            <w:tcBorders>
              <w:right w:val="single" w:sz="18" w:space="0" w:color="auto"/>
            </w:tcBorders>
            <w:noWrap/>
            <w:vAlign w:val="center"/>
          </w:tcPr>
          <w:p w14:paraId="3AE0D872" w14:textId="77777777" w:rsidR="002F63B6" w:rsidRPr="00537191" w:rsidRDefault="002F63B6" w:rsidP="00903A2F">
            <w:pPr>
              <w:spacing w:after="0" w:line="240" w:lineRule="auto"/>
              <w:jc w:val="both"/>
              <w:rPr>
                <w:rFonts w:cs="Calibri"/>
                <w:sz w:val="36"/>
                <w:szCs w:val="36"/>
                <w:lang w:val="en-US"/>
              </w:rPr>
            </w:pPr>
            <w:r w:rsidRPr="00537191">
              <w:rPr>
                <w:rFonts w:cs="Calibri"/>
                <w:sz w:val="36"/>
                <w:szCs w:val="36"/>
                <w:lang w:val="en-US"/>
              </w:rPr>
              <w:t>1,6</w:t>
            </w:r>
          </w:p>
        </w:tc>
      </w:tr>
      <w:tr w:rsidR="002F63B6" w:rsidRPr="00537191" w14:paraId="09A7D9EE" w14:textId="77777777" w:rsidTr="00596D37">
        <w:trPr>
          <w:trHeight w:val="270"/>
        </w:trPr>
        <w:tc>
          <w:tcPr>
            <w:tcW w:w="1260" w:type="dxa"/>
            <w:tcBorders>
              <w:left w:val="single" w:sz="18" w:space="0" w:color="auto"/>
              <w:bottom w:val="single" w:sz="18" w:space="0" w:color="auto"/>
              <w:right w:val="single" w:sz="12" w:space="0" w:color="auto"/>
            </w:tcBorders>
            <w:noWrap/>
            <w:vAlign w:val="center"/>
          </w:tcPr>
          <w:p w14:paraId="478644E4"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2022</w:t>
            </w:r>
          </w:p>
        </w:tc>
        <w:tc>
          <w:tcPr>
            <w:tcW w:w="2392" w:type="dxa"/>
            <w:tcBorders>
              <w:left w:val="single" w:sz="12" w:space="0" w:color="auto"/>
              <w:bottom w:val="single" w:sz="18" w:space="0" w:color="auto"/>
            </w:tcBorders>
            <w:noWrap/>
            <w:vAlign w:val="center"/>
          </w:tcPr>
          <w:p w14:paraId="050DB0E1"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126.145</w:t>
            </w:r>
          </w:p>
        </w:tc>
        <w:tc>
          <w:tcPr>
            <w:tcW w:w="1418" w:type="dxa"/>
            <w:tcBorders>
              <w:bottom w:val="single" w:sz="18" w:space="0" w:color="auto"/>
            </w:tcBorders>
            <w:noWrap/>
            <w:vAlign w:val="center"/>
          </w:tcPr>
          <w:p w14:paraId="7947573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-1.488</w:t>
            </w:r>
          </w:p>
        </w:tc>
        <w:tc>
          <w:tcPr>
            <w:tcW w:w="1701" w:type="dxa"/>
            <w:tcBorders>
              <w:bottom w:val="single" w:sz="18" w:space="0" w:color="auto"/>
              <w:right w:val="single" w:sz="18" w:space="0" w:color="auto"/>
            </w:tcBorders>
            <w:noWrap/>
            <w:vAlign w:val="center"/>
          </w:tcPr>
          <w:p w14:paraId="40EAC582" w14:textId="77777777" w:rsidR="002F63B6" w:rsidRPr="00537191" w:rsidRDefault="002F63B6" w:rsidP="00903A2F">
            <w:pPr>
              <w:spacing w:after="0" w:line="240" w:lineRule="auto"/>
              <w:jc w:val="both"/>
              <w:rPr>
                <w:rFonts w:cs="Calibri"/>
                <w:sz w:val="36"/>
                <w:szCs w:val="36"/>
                <w:lang w:val="en-US"/>
              </w:rPr>
            </w:pPr>
            <w:r w:rsidRPr="00537191">
              <w:rPr>
                <w:rFonts w:cs="Calibri"/>
                <w:sz w:val="36"/>
                <w:szCs w:val="36"/>
                <w:lang w:val="en-US"/>
              </w:rPr>
              <w:t>-1,2</w:t>
            </w:r>
          </w:p>
        </w:tc>
      </w:tr>
    </w:tbl>
    <w:p w14:paraId="076040CD" w14:textId="77777777" w:rsidR="002F63B6" w:rsidRPr="00537191" w:rsidRDefault="002F63B6" w:rsidP="00903A2F">
      <w:pPr>
        <w:jc w:val="both"/>
        <w:rPr>
          <w:rFonts w:cs="Calibri"/>
          <w:i/>
          <w:sz w:val="36"/>
          <w:szCs w:val="36"/>
        </w:rPr>
      </w:pPr>
      <w:r w:rsidRPr="00537191">
        <w:rPr>
          <w:rFonts w:cs="Calibri"/>
          <w:b/>
          <w:sz w:val="36"/>
          <w:szCs w:val="36"/>
        </w:rPr>
        <w:br/>
      </w:r>
      <w:r w:rsidRPr="00537191">
        <w:rPr>
          <w:rFonts w:cs="Calibri"/>
          <w:i/>
          <w:sz w:val="36"/>
          <w:szCs w:val="36"/>
        </w:rPr>
        <w:t>Πηγή: ΕΛΣΤΑΤ, ΕΟΔΥ</w:t>
      </w:r>
    </w:p>
    <w:p w14:paraId="12A2BAF0" w14:textId="77777777" w:rsidR="002F63B6" w:rsidRPr="00537191" w:rsidRDefault="002F63B6" w:rsidP="00903A2F">
      <w:pPr>
        <w:jc w:val="both"/>
        <w:rPr>
          <w:rFonts w:cs="Calibri"/>
          <w:sz w:val="36"/>
          <w:szCs w:val="36"/>
        </w:rPr>
      </w:pPr>
    </w:p>
    <w:p w14:paraId="07EA4116" w14:textId="77777777" w:rsidR="00F46185" w:rsidRPr="00537191" w:rsidRDefault="00F46185" w:rsidP="00903A2F">
      <w:pPr>
        <w:jc w:val="both"/>
        <w:rPr>
          <w:rFonts w:cs="Calibri"/>
          <w:b/>
          <w:sz w:val="36"/>
          <w:szCs w:val="36"/>
          <w:u w:val="single"/>
        </w:rPr>
      </w:pPr>
    </w:p>
    <w:p w14:paraId="40CFAFCD" w14:textId="77777777" w:rsidR="002F63B6" w:rsidRPr="00537191" w:rsidRDefault="002F63B6" w:rsidP="00903A2F">
      <w:pPr>
        <w:jc w:val="both"/>
        <w:rPr>
          <w:rFonts w:cs="Calibri"/>
          <w:b/>
          <w:sz w:val="36"/>
          <w:szCs w:val="36"/>
          <w:u w:val="single"/>
        </w:rPr>
      </w:pPr>
      <w:r w:rsidRPr="00537191">
        <w:rPr>
          <w:rFonts w:cs="Calibri"/>
          <w:b/>
          <w:sz w:val="36"/>
          <w:szCs w:val="36"/>
          <w:u w:val="single"/>
        </w:rPr>
        <w:t>Θάνατοι και δεδομένα κορωνοϊού</w:t>
      </w:r>
    </w:p>
    <w:p w14:paraId="7A9817E5" w14:textId="77777777" w:rsidR="002F63B6" w:rsidRPr="00537191" w:rsidRDefault="002F63B6" w:rsidP="00903A2F">
      <w:pPr>
        <w:jc w:val="both"/>
        <w:rPr>
          <w:rFonts w:cs="Calibri"/>
          <w:sz w:val="36"/>
          <w:szCs w:val="36"/>
        </w:rPr>
      </w:pPr>
      <w:r w:rsidRPr="00537191">
        <w:rPr>
          <w:rFonts w:cs="Calibri"/>
          <w:sz w:val="36"/>
          <w:szCs w:val="36"/>
        </w:rPr>
        <w:lastRenderedPageBreak/>
        <w:t xml:space="preserve">Πιο συγκεκριμένα στοιχεία για την πανδημία στην Ελλάδα βλέπουμε στον επόμενο πίνακα, που παρατίθενται οι θάνατοι και τα κρούσματα του κορωνοϊού ανά έτος. Παρατηρούμε πως το 2020 το ποσοστό θνητότητας ήταν 3,5%, ενώ το 2021 αυτό υποχώρησε σε ποσοστό κάτω του 1,5%, με τους θανάτους όμως να τετραπλασιάζονται και τα κρούσματα να δεκαπλασιάζονται. Αυτό οφείλεται στην άρση των υγειονομικών μέτρων, όπως και στην μετάλλαξη δέλτα, που ήταν πολύ μεταδοτικότερη και το ίδιο επικίνδυνη με το αρχικό στέλεχος, ενώ η μείωση του ποσοστού θνητότητας στην φυσική ανοσία και τον εμβολιασμό. Το 2022 κυριάρχησε το στέλεχος όμικρον, που είναι ηπιότερο των προηγούμενων, γι’ αυτό και η θνητότητα έπεσε στο 0,3%, με τα κρούσματα όμως να τετραπλασιάζονται συγκριτικά με το 2021, νοσώντας από κορωνοϊό σχεδόν ο μισός πληθυσμός της Ελλάδας, ενώ οι θάνατοι μειώθηκαν κατά 1.806 σε σχέση με το προηγούμενο έτος. </w:t>
      </w:r>
    </w:p>
    <w:p w14:paraId="37D9B6E2" w14:textId="77777777" w:rsidR="00F46185" w:rsidRPr="00537191" w:rsidRDefault="00F46185" w:rsidP="00903A2F">
      <w:pPr>
        <w:jc w:val="both"/>
        <w:rPr>
          <w:rFonts w:cs="Calibri"/>
          <w:sz w:val="36"/>
          <w:szCs w:val="36"/>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2040"/>
        <w:gridCol w:w="2053"/>
        <w:gridCol w:w="1998"/>
      </w:tblGrid>
      <w:tr w:rsidR="002F63B6" w:rsidRPr="00537191" w14:paraId="5CAE28C7" w14:textId="77777777" w:rsidTr="004B47C8">
        <w:trPr>
          <w:trHeight w:val="255"/>
        </w:trPr>
        <w:tc>
          <w:tcPr>
            <w:tcW w:w="1260" w:type="dxa"/>
            <w:tcBorders>
              <w:top w:val="single" w:sz="18" w:space="0" w:color="auto"/>
              <w:left w:val="single" w:sz="18" w:space="0" w:color="auto"/>
              <w:bottom w:val="single" w:sz="12" w:space="0" w:color="auto"/>
              <w:right w:val="single" w:sz="12" w:space="0" w:color="auto"/>
            </w:tcBorders>
            <w:noWrap/>
            <w:vAlign w:val="center"/>
          </w:tcPr>
          <w:p w14:paraId="3649DE55"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Έτος</w:t>
            </w:r>
          </w:p>
        </w:tc>
        <w:tc>
          <w:tcPr>
            <w:tcW w:w="2040" w:type="dxa"/>
            <w:tcBorders>
              <w:top w:val="single" w:sz="18" w:space="0" w:color="auto"/>
              <w:left w:val="single" w:sz="12" w:space="0" w:color="auto"/>
              <w:bottom w:val="single" w:sz="12" w:space="0" w:color="auto"/>
            </w:tcBorders>
            <w:noWrap/>
            <w:vAlign w:val="center"/>
          </w:tcPr>
          <w:p w14:paraId="4AE341BD"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Θάνατοι covid</w:t>
            </w:r>
          </w:p>
        </w:tc>
        <w:tc>
          <w:tcPr>
            <w:tcW w:w="2053" w:type="dxa"/>
            <w:tcBorders>
              <w:top w:val="single" w:sz="18" w:space="0" w:color="auto"/>
              <w:bottom w:val="single" w:sz="12" w:space="0" w:color="auto"/>
            </w:tcBorders>
            <w:noWrap/>
            <w:vAlign w:val="center"/>
          </w:tcPr>
          <w:p w14:paraId="0B5DC7DB"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Κρούσματα covid</w:t>
            </w:r>
          </w:p>
        </w:tc>
        <w:tc>
          <w:tcPr>
            <w:tcW w:w="1701" w:type="dxa"/>
            <w:tcBorders>
              <w:top w:val="single" w:sz="18" w:space="0" w:color="auto"/>
              <w:bottom w:val="single" w:sz="12" w:space="0" w:color="auto"/>
              <w:right w:val="single" w:sz="18" w:space="0" w:color="auto"/>
            </w:tcBorders>
            <w:noWrap/>
            <w:vAlign w:val="center"/>
          </w:tcPr>
          <w:p w14:paraId="27C8C805"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 Θνητότητας</w:t>
            </w:r>
          </w:p>
        </w:tc>
      </w:tr>
      <w:tr w:rsidR="002F63B6" w:rsidRPr="00537191" w14:paraId="06776F9B" w14:textId="77777777" w:rsidTr="004B47C8">
        <w:trPr>
          <w:trHeight w:val="255"/>
        </w:trPr>
        <w:tc>
          <w:tcPr>
            <w:tcW w:w="1260" w:type="dxa"/>
            <w:tcBorders>
              <w:top w:val="single" w:sz="12" w:space="0" w:color="auto"/>
              <w:left w:val="single" w:sz="18" w:space="0" w:color="auto"/>
              <w:right w:val="single" w:sz="12" w:space="0" w:color="auto"/>
            </w:tcBorders>
            <w:noWrap/>
            <w:vAlign w:val="center"/>
          </w:tcPr>
          <w:p w14:paraId="205F46A4"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2020</w:t>
            </w:r>
          </w:p>
        </w:tc>
        <w:tc>
          <w:tcPr>
            <w:tcW w:w="2040" w:type="dxa"/>
            <w:tcBorders>
              <w:top w:val="single" w:sz="12" w:space="0" w:color="auto"/>
              <w:left w:val="single" w:sz="12" w:space="0" w:color="auto"/>
            </w:tcBorders>
            <w:noWrap/>
            <w:vAlign w:val="center"/>
          </w:tcPr>
          <w:p w14:paraId="0225CE1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4.606</w:t>
            </w:r>
          </w:p>
        </w:tc>
        <w:tc>
          <w:tcPr>
            <w:tcW w:w="2053" w:type="dxa"/>
            <w:tcBorders>
              <w:top w:val="single" w:sz="12" w:space="0" w:color="auto"/>
            </w:tcBorders>
            <w:noWrap/>
            <w:vAlign w:val="center"/>
          </w:tcPr>
          <w:p w14:paraId="7F5FC08F"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135.456</w:t>
            </w:r>
          </w:p>
        </w:tc>
        <w:tc>
          <w:tcPr>
            <w:tcW w:w="1701" w:type="dxa"/>
            <w:tcBorders>
              <w:top w:val="single" w:sz="12" w:space="0" w:color="auto"/>
              <w:right w:val="single" w:sz="18" w:space="0" w:color="auto"/>
            </w:tcBorders>
            <w:noWrap/>
            <w:vAlign w:val="center"/>
          </w:tcPr>
          <w:p w14:paraId="176B325A"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3,40%</w:t>
            </w:r>
          </w:p>
        </w:tc>
      </w:tr>
      <w:tr w:rsidR="002F63B6" w:rsidRPr="00537191" w14:paraId="58397EFB" w14:textId="77777777" w:rsidTr="004B47C8">
        <w:trPr>
          <w:trHeight w:val="255"/>
        </w:trPr>
        <w:tc>
          <w:tcPr>
            <w:tcW w:w="1260" w:type="dxa"/>
            <w:tcBorders>
              <w:left w:val="single" w:sz="18" w:space="0" w:color="auto"/>
              <w:right w:val="single" w:sz="12" w:space="0" w:color="auto"/>
            </w:tcBorders>
            <w:noWrap/>
            <w:vAlign w:val="center"/>
          </w:tcPr>
          <w:p w14:paraId="2F0136AC"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(53 εβδ.)</w:t>
            </w:r>
          </w:p>
        </w:tc>
        <w:tc>
          <w:tcPr>
            <w:tcW w:w="2040" w:type="dxa"/>
            <w:tcBorders>
              <w:left w:val="single" w:sz="12" w:space="0" w:color="auto"/>
            </w:tcBorders>
            <w:noWrap/>
            <w:vAlign w:val="center"/>
          </w:tcPr>
          <w:p w14:paraId="5C9B2226"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4.957</w:t>
            </w:r>
          </w:p>
        </w:tc>
        <w:tc>
          <w:tcPr>
            <w:tcW w:w="2053" w:type="dxa"/>
            <w:noWrap/>
            <w:vAlign w:val="center"/>
          </w:tcPr>
          <w:p w14:paraId="4679F873"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140.099</w:t>
            </w:r>
          </w:p>
        </w:tc>
        <w:tc>
          <w:tcPr>
            <w:tcW w:w="1701" w:type="dxa"/>
            <w:tcBorders>
              <w:right w:val="single" w:sz="18" w:space="0" w:color="auto"/>
            </w:tcBorders>
            <w:noWrap/>
            <w:vAlign w:val="center"/>
          </w:tcPr>
          <w:p w14:paraId="503D3C27"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3,54%</w:t>
            </w:r>
          </w:p>
        </w:tc>
      </w:tr>
      <w:tr w:rsidR="002F63B6" w:rsidRPr="00537191" w14:paraId="17AC7AA5" w14:textId="77777777" w:rsidTr="004B47C8">
        <w:trPr>
          <w:trHeight w:val="255"/>
        </w:trPr>
        <w:tc>
          <w:tcPr>
            <w:tcW w:w="1260" w:type="dxa"/>
            <w:tcBorders>
              <w:left w:val="single" w:sz="18" w:space="0" w:color="auto"/>
              <w:right w:val="single" w:sz="12" w:space="0" w:color="auto"/>
            </w:tcBorders>
            <w:noWrap/>
            <w:vAlign w:val="center"/>
          </w:tcPr>
          <w:p w14:paraId="30C942B8"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2021</w:t>
            </w:r>
          </w:p>
        </w:tc>
        <w:tc>
          <w:tcPr>
            <w:tcW w:w="2040" w:type="dxa"/>
            <w:tcBorders>
              <w:left w:val="single" w:sz="12" w:space="0" w:color="auto"/>
            </w:tcBorders>
            <w:noWrap/>
            <w:vAlign w:val="center"/>
          </w:tcPr>
          <w:p w14:paraId="3411570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15.953</w:t>
            </w:r>
          </w:p>
        </w:tc>
        <w:tc>
          <w:tcPr>
            <w:tcW w:w="2053" w:type="dxa"/>
            <w:noWrap/>
            <w:vAlign w:val="center"/>
          </w:tcPr>
          <w:p w14:paraId="1844544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1.118.396</w:t>
            </w:r>
          </w:p>
        </w:tc>
        <w:tc>
          <w:tcPr>
            <w:tcW w:w="1701" w:type="dxa"/>
            <w:tcBorders>
              <w:right w:val="single" w:sz="18" w:space="0" w:color="auto"/>
            </w:tcBorders>
            <w:noWrap/>
            <w:vAlign w:val="center"/>
          </w:tcPr>
          <w:p w14:paraId="1061EC21"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1,43%</w:t>
            </w:r>
          </w:p>
        </w:tc>
      </w:tr>
      <w:tr w:rsidR="002F63B6" w:rsidRPr="00537191" w14:paraId="5B9F64BC" w14:textId="77777777" w:rsidTr="004B47C8">
        <w:trPr>
          <w:trHeight w:val="270"/>
        </w:trPr>
        <w:tc>
          <w:tcPr>
            <w:tcW w:w="1260" w:type="dxa"/>
            <w:tcBorders>
              <w:left w:val="single" w:sz="18" w:space="0" w:color="auto"/>
              <w:bottom w:val="single" w:sz="18" w:space="0" w:color="auto"/>
              <w:right w:val="single" w:sz="12" w:space="0" w:color="auto"/>
            </w:tcBorders>
            <w:noWrap/>
            <w:vAlign w:val="center"/>
          </w:tcPr>
          <w:p w14:paraId="4EE9B873"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2022</w:t>
            </w:r>
          </w:p>
        </w:tc>
        <w:tc>
          <w:tcPr>
            <w:tcW w:w="2040" w:type="dxa"/>
            <w:tcBorders>
              <w:left w:val="single" w:sz="12" w:space="0" w:color="auto"/>
              <w:bottom w:val="single" w:sz="18" w:space="0" w:color="auto"/>
            </w:tcBorders>
            <w:noWrap/>
            <w:vAlign w:val="center"/>
          </w:tcPr>
          <w:p w14:paraId="7755E991"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14.147</w:t>
            </w:r>
          </w:p>
        </w:tc>
        <w:tc>
          <w:tcPr>
            <w:tcW w:w="2053" w:type="dxa"/>
            <w:tcBorders>
              <w:bottom w:val="single" w:sz="18" w:space="0" w:color="auto"/>
            </w:tcBorders>
            <w:noWrap/>
            <w:vAlign w:val="center"/>
          </w:tcPr>
          <w:p w14:paraId="35EE5F0E" w14:textId="77777777" w:rsidR="002F63B6" w:rsidRPr="00537191" w:rsidRDefault="002F63B6" w:rsidP="00903A2F">
            <w:pPr>
              <w:spacing w:after="0" w:line="240" w:lineRule="auto"/>
              <w:jc w:val="both"/>
              <w:rPr>
                <w:rFonts w:cs="Calibri"/>
                <w:sz w:val="36"/>
                <w:szCs w:val="36"/>
              </w:rPr>
            </w:pPr>
            <w:r w:rsidRPr="00537191">
              <w:rPr>
                <w:rFonts w:cs="Calibri"/>
                <w:sz w:val="36"/>
                <w:szCs w:val="36"/>
              </w:rPr>
              <w:t xml:space="preserve">4.384.992 </w:t>
            </w:r>
            <w:r w:rsidRPr="00537191">
              <w:rPr>
                <w:rFonts w:cs="Calibri"/>
                <w:sz w:val="36"/>
                <w:szCs w:val="36"/>
              </w:rPr>
              <w:lastRenderedPageBreak/>
              <w:t>(περίπου)</w:t>
            </w:r>
          </w:p>
        </w:tc>
        <w:tc>
          <w:tcPr>
            <w:tcW w:w="1701" w:type="dxa"/>
            <w:tcBorders>
              <w:bottom w:val="single" w:sz="18" w:space="0" w:color="auto"/>
              <w:right w:val="single" w:sz="18" w:space="0" w:color="auto"/>
            </w:tcBorders>
            <w:noWrap/>
            <w:vAlign w:val="center"/>
          </w:tcPr>
          <w:p w14:paraId="14C16DD6" w14:textId="77777777" w:rsidR="002F63B6" w:rsidRPr="00537191" w:rsidRDefault="002F63B6" w:rsidP="00903A2F">
            <w:pPr>
              <w:spacing w:after="0" w:line="240" w:lineRule="auto"/>
              <w:jc w:val="both"/>
              <w:rPr>
                <w:rFonts w:cs="Calibri"/>
                <w:sz w:val="36"/>
                <w:szCs w:val="36"/>
              </w:rPr>
            </w:pPr>
            <w:r w:rsidRPr="00537191">
              <w:rPr>
                <w:rFonts w:cs="Calibri"/>
                <w:sz w:val="36"/>
                <w:szCs w:val="36"/>
              </w:rPr>
              <w:lastRenderedPageBreak/>
              <w:t>0,32%</w:t>
            </w:r>
          </w:p>
        </w:tc>
      </w:tr>
    </w:tbl>
    <w:p w14:paraId="0CE870C5" w14:textId="77777777" w:rsidR="002F63B6" w:rsidRPr="00537191" w:rsidRDefault="002F63B6" w:rsidP="00903A2F">
      <w:pPr>
        <w:jc w:val="both"/>
        <w:rPr>
          <w:rFonts w:cs="Calibri"/>
          <w:i/>
          <w:sz w:val="36"/>
          <w:szCs w:val="36"/>
        </w:rPr>
      </w:pPr>
      <w:r w:rsidRPr="00537191">
        <w:rPr>
          <w:rFonts w:cs="Calibri"/>
          <w:i/>
          <w:sz w:val="36"/>
          <w:szCs w:val="36"/>
        </w:rPr>
        <w:br/>
        <w:t>Πηγή: ΕΟΔΥ</w:t>
      </w:r>
    </w:p>
    <w:p w14:paraId="4C3ADB54" w14:textId="77777777" w:rsidR="002F63B6" w:rsidRPr="00537191" w:rsidRDefault="002F63B6" w:rsidP="00903A2F">
      <w:pPr>
        <w:jc w:val="both"/>
        <w:rPr>
          <w:rFonts w:cs="Calibri"/>
          <w:color w:val="000000"/>
          <w:sz w:val="36"/>
          <w:szCs w:val="36"/>
        </w:rPr>
      </w:pPr>
      <w:r w:rsidRPr="00537191">
        <w:rPr>
          <w:rFonts w:cs="Calibri"/>
          <w:color w:val="000000"/>
          <w:sz w:val="36"/>
          <w:szCs w:val="36"/>
        </w:rPr>
        <w:t>Το θετικό στοιχείο που προκύπτει από τα παραπάνω, είναι η μεγάλη πτώση του ποσοστού θνητότητας από το 2020 και το γεγονός ότι επικρατούσα μετάλλαξη όμικρον είναι ηπιότερη. Αυτό φέρνει την θνητότητα του κορωνοϊού σε επίπεδα παρόμοια με αυτά της γρίπης, αν και ακόμα, σύμφωνα με έρευνες που πραγματοποιήθηκαν σε Ελβετία (</w:t>
      </w:r>
      <w:r w:rsidRPr="00537191">
        <w:rPr>
          <w:rFonts w:cs="Calibri"/>
          <w:color w:val="000000"/>
          <w:sz w:val="36"/>
          <w:szCs w:val="36"/>
          <w:lang w:val="en-US"/>
        </w:rPr>
        <w:t>JAMA</w:t>
      </w:r>
      <w:r w:rsidRPr="00537191">
        <w:rPr>
          <w:rFonts w:cs="Calibri"/>
          <w:color w:val="000000"/>
          <w:sz w:val="36"/>
          <w:szCs w:val="36"/>
        </w:rPr>
        <w:t xml:space="preserve"> </w:t>
      </w:r>
      <w:r w:rsidRPr="00537191">
        <w:rPr>
          <w:rFonts w:cs="Calibri"/>
          <w:color w:val="000000"/>
          <w:sz w:val="36"/>
          <w:szCs w:val="36"/>
          <w:lang w:val="en-US"/>
        </w:rPr>
        <w:t>Network</w:t>
      </w:r>
      <w:r w:rsidRPr="00537191">
        <w:rPr>
          <w:rFonts w:cs="Calibri"/>
          <w:color w:val="000000"/>
          <w:sz w:val="36"/>
          <w:szCs w:val="36"/>
        </w:rPr>
        <w:t>) και Καναδά (</w:t>
      </w:r>
      <w:r w:rsidRPr="00537191">
        <w:rPr>
          <w:rFonts w:cs="Calibri"/>
          <w:color w:val="000000"/>
          <w:sz w:val="36"/>
          <w:szCs w:val="36"/>
          <w:lang w:val="en-US"/>
        </w:rPr>
        <w:t>BMJ</w:t>
      </w:r>
      <w:r w:rsidRPr="00537191">
        <w:rPr>
          <w:rFonts w:cs="Calibri"/>
          <w:color w:val="000000"/>
          <w:sz w:val="36"/>
          <w:szCs w:val="36"/>
        </w:rPr>
        <w:t xml:space="preserve"> </w:t>
      </w:r>
      <w:r w:rsidRPr="00537191">
        <w:rPr>
          <w:rFonts w:cs="Calibri"/>
          <w:color w:val="000000"/>
          <w:sz w:val="36"/>
          <w:szCs w:val="36"/>
          <w:lang w:val="en-US"/>
        </w:rPr>
        <w:t>Open</w:t>
      </w:r>
      <w:r w:rsidRPr="00537191">
        <w:rPr>
          <w:rFonts w:cs="Calibri"/>
          <w:color w:val="000000"/>
          <w:sz w:val="36"/>
          <w:szCs w:val="36"/>
        </w:rPr>
        <w:t xml:space="preserve">) και δημοσιεύθηκαν τον Φεβρουάριο του 2023, παραμένει πιο επικίνδυνος από αυτή. Παρ’ όλα αυτά, η γενική εικόνα δεν έχει θετικό αντίκτυπο. Μπορεί πλέον η πανδημία να έχει περάσει σε μία άλλη φάση, τείνοντας προς την ενδημία, οι κοινωνίες να έχουν επιστρέψει στην κανονικότητα και τα συστήματα υγείας να μην διατρέχουν τον κίνδυνο κατάρρευσης, όμως το στίγμα που αφήνει η πανδημία είναι μόνιμο, αφού πρέπει πλέον να θεωρούμε δεδομένο ότι θα ζούμε με τον κορωνοϊό και αυτό δεν είναι δυνατόν να αλλάξει, γι’ αυτό και στο παρόν κείμενο δεν προτείνεται κάποιο μέτρο αντιμετώπισής του, αφού η παγκόσμια κοινότητα έχασε την ευκαιρία το 2020 να τον εξαλείψει, όταν αυτό ήταν ακόμα πρακτικά εφικτό, όπως συνέβη στις περιπτώσεις άλλων ιών, όπως με τον </w:t>
      </w:r>
      <w:r w:rsidRPr="00537191">
        <w:rPr>
          <w:rFonts w:cs="Calibri"/>
          <w:color w:val="000000"/>
          <w:sz w:val="36"/>
          <w:szCs w:val="36"/>
          <w:lang w:val="en-US"/>
        </w:rPr>
        <w:t>SARS</w:t>
      </w:r>
      <w:r w:rsidRPr="00537191">
        <w:rPr>
          <w:rFonts w:cs="Calibri"/>
          <w:color w:val="000000"/>
          <w:sz w:val="36"/>
          <w:szCs w:val="36"/>
        </w:rPr>
        <w:t>-</w:t>
      </w:r>
      <w:r w:rsidRPr="00537191">
        <w:rPr>
          <w:rFonts w:cs="Calibri"/>
          <w:color w:val="000000"/>
          <w:sz w:val="36"/>
          <w:szCs w:val="36"/>
          <w:lang w:val="en-US"/>
        </w:rPr>
        <w:t>CoV</w:t>
      </w:r>
      <w:r w:rsidRPr="00537191">
        <w:rPr>
          <w:rFonts w:cs="Calibri"/>
          <w:color w:val="000000"/>
          <w:sz w:val="36"/>
          <w:szCs w:val="36"/>
        </w:rPr>
        <w:t xml:space="preserve">-1 στην Άπω Ανατολή. Αυτό το πρόβλημα είναι πολύ σοβαρό, διότι προσθέτει </w:t>
      </w:r>
      <w:r w:rsidRPr="00537191">
        <w:rPr>
          <w:rFonts w:cs="Calibri"/>
          <w:color w:val="000000"/>
          <w:sz w:val="36"/>
          <w:szCs w:val="36"/>
        </w:rPr>
        <w:lastRenderedPageBreak/>
        <w:t xml:space="preserve">ακόμα μία αιτία θανάτου, η οποία δεν υπήρχε πριν λίγα χρόνια. </w:t>
      </w:r>
    </w:p>
    <w:p w14:paraId="08FD1457"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Εκτός αυτού, ο κορωνοϊός μπορεί να έχει γίνει πιο ήπιος όπως ήδη αναφέραμε, όμως λόγω της μεγάλης μεταδοτικότητάς του, προκύπτουν περισσότερα κρούσματα, που με την σειρά τους επιφέρουν περισσότερους θανάτους σε σύγκριση με την γρίπη και άλλους μεταδιδόμενους αναπνευστικούς ιούς και αυτό είναι το μεγαλύτερο πρόβλημα σχετικά με αυτόν τον ιό. Μπορεί τα ποσοστά να μειώθηκαν, όμως οι θάνατοι αυξήθηκαν, και εν προκειμένω αυτό που πρέπει να μας απασχολεί είναι οι απόλυτοι αριθμοί, αφού έχουμε να κάνουμε με ανθρώπινες ζωές και όχι απλούς αριθμούς. Εκτός όμως από τους θανάτους, ο κορωνοϊός επιφέρει ακόμα ένα πρόβλημα στην δημόσια υγεία, αυτό του </w:t>
      </w:r>
      <w:r w:rsidRPr="00537191">
        <w:rPr>
          <w:rFonts w:cs="Calibri"/>
          <w:color w:val="000000"/>
          <w:sz w:val="36"/>
          <w:szCs w:val="36"/>
          <w:lang w:val="en-US"/>
        </w:rPr>
        <w:t>long</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δηλαδή των μακροπρόθεσμων επιπτώσεων στην υγεία ορισμένων ανθρώπων που νόσησαν από αυτόν, επηρεάζοντας πολλά ανθρώπινα όργανα και επιφέροντας πολλαπλά προβλήματα στον οργανισμό. Επ’ αυτού, το επιστημονικό περιοδικό «</w:t>
      </w:r>
      <w:r w:rsidRPr="00537191">
        <w:rPr>
          <w:rFonts w:cs="Calibri"/>
          <w:color w:val="000000"/>
          <w:sz w:val="36"/>
          <w:szCs w:val="36"/>
          <w:lang w:val="en-US"/>
        </w:rPr>
        <w:t>Nature</w:t>
      </w:r>
      <w:r w:rsidRPr="00537191">
        <w:rPr>
          <w:rFonts w:cs="Calibri"/>
          <w:color w:val="000000"/>
          <w:sz w:val="36"/>
          <w:szCs w:val="36"/>
        </w:rPr>
        <w:t xml:space="preserve">» σε έκθεσή του τον Ιανουάριο του 2023, εκτίμησε πως οι περιπτώσεις </w:t>
      </w:r>
      <w:r w:rsidRPr="00537191">
        <w:rPr>
          <w:rFonts w:cs="Calibri"/>
          <w:color w:val="000000"/>
          <w:sz w:val="36"/>
          <w:szCs w:val="36"/>
          <w:lang w:val="en-US"/>
        </w:rPr>
        <w:t>long</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xml:space="preserve"> ανέρχονται τουλάχιστον στα 65εκ. παγκοσμίως. Το συγκεκριμένο πρόβλημα ίσως αποδειχθεί  εφάμιλλο αν όχι μεγαλύτερο και από την ίδια την πανδημία, γι’ αυτό και πρέπει να το λάβουμε σοβαρά υπ’ όψιν μας, αφού η έκθεση προσθέτει, πως οι ιατρικές και θεραπευτικές επιλογές είναι επί του </w:t>
      </w:r>
      <w:r w:rsidRPr="00537191">
        <w:rPr>
          <w:rFonts w:cs="Calibri"/>
          <w:color w:val="000000"/>
          <w:sz w:val="36"/>
          <w:szCs w:val="36"/>
        </w:rPr>
        <w:lastRenderedPageBreak/>
        <w:t xml:space="preserve">παρόντος ανεπαρκείς και γι’ αυτό είναι επιτακτική ανάγκη η διενέργεια πολλών μελετών γι’ αυτή την πολυσυστηματική νόσο, η οποία θα εξακολουθήσει να απασχολεί ακόμα εντονότερα την επιστημονική κοινότητα στο μέλλον. </w:t>
      </w:r>
    </w:p>
    <w:p w14:paraId="7001F384"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Τέλος, ακόμα μία απόδειξη για την επικινδυνότητα που είχε ο κορωνοϊός στην αρχή της εμφάνισής του και το πόσο σοβαρή ήταν η κατάσταση που κλήθηκε όλος ο κόσμος να αντιμετωπίσει, σε αντίθεση με όσους θεωρούσαν ότι πρόκειται για μια ήπια ασθένεια, είναι οι αριθμοί που παραθέσαμε. Κι αυτό γιατί, αν το 0,32% ως υφιστάμενο ποσοστό θνητότητας επιφέρει τόσους πολλούς θανάτους, μπορούμε να αναλογιστούμε τον κίνδυνο που διατρέχαμε όταν το ποσοστό αυτό βρισκόταν στο 3,5%, με ένα στέλεχος που δημιουργούσε βαρύτερη ασθένεια, και σε συνθήκες απουσίας φυσικής ανοσίας και εμβολίου, και κατ’ επέκταση το πόσο βοήθησαν τα υγειονομικά μέτρα στον περιορισμό του ιού. Φυσικά, τα όσα αναφέρουμε είναι μία αποτίμηση της κατάστασης της πανδημίας, χωρίς αυτό να σημαίνει πως σήμερα θα πρέπει η αντιμετώπιση να είναι η ίδια με την αντίστοιχη εκείνης της εποχής. Πλέον, υπάρχουν φάρμακα και ανοσία κατά του ιού, αλλά είναι χρήσιμο όλοι να τηρούμε όπου χρειάζεται στοιχειωδώς τα απαραίτητα μέτρα, κατά τις υποδείξεις των υγειονομικών αρχών, και αυτό μάλιστα είναι αναγκαίο να συμβαίνει, διότι η πανδημία έφερε </w:t>
      </w:r>
      <w:r w:rsidRPr="00537191">
        <w:rPr>
          <w:rFonts w:cs="Calibri"/>
          <w:color w:val="000000"/>
          <w:sz w:val="36"/>
          <w:szCs w:val="36"/>
        </w:rPr>
        <w:lastRenderedPageBreak/>
        <w:t>νέες συνθήκες στην αντιμετώπιση των ασθενειών, στις οποίες καλούμαστε και πρέπει να προσαρμοστούμε, τόσο οι πολίτες, οι οποίοι πλέον είμαστε πιο ευαισθητοποιημένοι σε θέματα υγείας, δίνοντας μεγαλύτερη προσοχή ακόμα και σε απλές ασθένειες όσο και οι αρμόδιοι χάραξης πολιτικών υγείας, για το κοινό καλό και την προάσπιση της δημόσιας υγείας.</w:t>
      </w:r>
    </w:p>
    <w:p w14:paraId="15E80BB6" w14:textId="77777777" w:rsidR="002F63B6" w:rsidRPr="00537191" w:rsidRDefault="002F63B6" w:rsidP="00903A2F">
      <w:pPr>
        <w:jc w:val="both"/>
        <w:rPr>
          <w:rFonts w:cs="Calibri"/>
          <w:color w:val="000000"/>
          <w:sz w:val="36"/>
          <w:szCs w:val="36"/>
        </w:rPr>
      </w:pPr>
    </w:p>
    <w:p w14:paraId="0216093B" w14:textId="77777777" w:rsidR="002F63B6" w:rsidRPr="00537191" w:rsidRDefault="002F63B6" w:rsidP="00903A2F">
      <w:pPr>
        <w:jc w:val="both"/>
        <w:rPr>
          <w:rFonts w:cs="Calibri"/>
          <w:b/>
          <w:color w:val="000000"/>
          <w:sz w:val="36"/>
          <w:szCs w:val="36"/>
          <w:u w:val="single"/>
        </w:rPr>
      </w:pPr>
      <w:r w:rsidRPr="00537191">
        <w:rPr>
          <w:rFonts w:cs="Calibri"/>
          <w:b/>
          <w:color w:val="000000"/>
          <w:sz w:val="36"/>
          <w:szCs w:val="36"/>
          <w:u w:val="single"/>
        </w:rPr>
        <w:t>Υπερβάλλουσα θνησιμότητα σε αιτίες εκτός κορωνοϊού</w:t>
      </w:r>
    </w:p>
    <w:p w14:paraId="226CD42F" w14:textId="77777777" w:rsidR="002F63B6" w:rsidRPr="00537191" w:rsidRDefault="002F63B6" w:rsidP="00903A2F">
      <w:pPr>
        <w:jc w:val="both"/>
        <w:rPr>
          <w:rFonts w:cs="Calibri"/>
          <w:color w:val="FF0000"/>
          <w:sz w:val="36"/>
          <w:szCs w:val="36"/>
        </w:rPr>
      </w:pPr>
      <w:r w:rsidRPr="00537191">
        <w:rPr>
          <w:rFonts w:cs="Calibri"/>
          <w:color w:val="000000"/>
          <w:sz w:val="36"/>
          <w:szCs w:val="36"/>
        </w:rPr>
        <w:t xml:space="preserve">Όπως ήταν αναμενόμενο ο κορωνοϊός επέφερε αύξηση των θανάτων σε σύγκριση με τα προηγούμενα έτη σε όλα τα κράτη, όμως παράλληλα έχει παρατηρηθεί το φαινόμενο της υπερβάλλουσας θνησιμότητας σε αιτίες εκτός κορωνοϊού, το οποίο απασχολεί την ιατρική κοινότητα. Στις χώρες του εξωτερικού που το θέμα έχει μελετηθεί σε ικανοποιητικό βαθμό, φαίνεται ότι οι αιτίες του προβλήματος σχετίζονται με την πανδημία. Ήδη από το πρώτο κύμα της πανδημίας είχαν κυκλοφορήσει μελέτες και άρθρα που έκαναν λόγο για την αποχή των ανθρώπων από προγνωστικές και προγραμματισμένες εξετάσεις, λόγω της εμφάνισης του κορωνοϊού. Αυτό είχε ως αποτέλεσμα την έλλειψη έγκαιρης διάγνωσης ασθενειών που αποτελούν αιτίες θανάτου. Επίσης, η αιτία αυτής της υπερβάλλουσας θνησιμότητας σύμφωνα με τον Ιατρικό Σύλλογο του </w:t>
      </w:r>
      <w:r w:rsidRPr="00537191">
        <w:rPr>
          <w:rFonts w:cs="Calibri"/>
          <w:color w:val="000000"/>
          <w:sz w:val="36"/>
          <w:szCs w:val="36"/>
        </w:rPr>
        <w:lastRenderedPageBreak/>
        <w:t xml:space="preserve">Καναδά, σε έκθεση που εξέδωσε η </w:t>
      </w:r>
      <w:r w:rsidRPr="00537191">
        <w:rPr>
          <w:rFonts w:cs="Calibri"/>
          <w:color w:val="000000"/>
          <w:sz w:val="36"/>
          <w:szCs w:val="36"/>
          <w:lang w:val="en-US"/>
        </w:rPr>
        <w:t>Deloitte</w:t>
      </w:r>
      <w:r w:rsidRPr="00537191">
        <w:rPr>
          <w:rFonts w:cs="Calibri"/>
          <w:color w:val="000000"/>
          <w:sz w:val="36"/>
          <w:szCs w:val="36"/>
        </w:rPr>
        <w:t xml:space="preserve">, φαίνεται να έγκειται και στις μειωμένες επισκέψεις στα νοσοκομεία, όταν προέκυπταν προβλήματα υγείας, αφού οι άνθρωποι δεν προσέρχονταν στα εξωτερικά ιατρεία ή στις μονάδες πρωτοβάθμιας φροντίδας υγείας, όπως και στις αναβολές προγραμματισμένων χειρουργικών επεμβάσεων, που κάποιες από αυτές αφορούσαν σοβαρά περιστατικά. Το </w:t>
      </w:r>
      <w:r w:rsidRPr="00537191">
        <w:rPr>
          <w:rFonts w:cs="Calibri"/>
          <w:color w:val="000000"/>
          <w:sz w:val="36"/>
          <w:szCs w:val="36"/>
          <w:lang w:val="en-US"/>
        </w:rPr>
        <w:t>BBC</w:t>
      </w:r>
      <w:r w:rsidRPr="00537191">
        <w:rPr>
          <w:rFonts w:cs="Calibri"/>
          <w:color w:val="000000"/>
          <w:sz w:val="36"/>
          <w:szCs w:val="36"/>
        </w:rPr>
        <w:t xml:space="preserve"> κάνοντας λόγο σε άρθρο του για το φαινόμενο αυτό στην Μεγάλη Βρετανία, αναφέρεται στην αδυναμία του συστήματος υγείας να σηκώσει το βάρος του φόρτου τόσο των ασθενών με κορωνοϊό όσο και εκείνων που είχαν άλλα προβλήματα υγείας, τονίζοντας ακόμα και τις καθυστερήσεις των ασθενοφόρων στις παραλαβές ασθενών.</w:t>
      </w:r>
      <w:r w:rsidRPr="00537191">
        <w:rPr>
          <w:rFonts w:cs="Calibri"/>
          <w:color w:val="FF0000"/>
          <w:sz w:val="36"/>
          <w:szCs w:val="36"/>
        </w:rPr>
        <w:t xml:space="preserve"> </w:t>
      </w:r>
    </w:p>
    <w:p w14:paraId="4414C7F2" w14:textId="77777777" w:rsidR="002F63B6" w:rsidRPr="00537191" w:rsidRDefault="002F63B6" w:rsidP="00903A2F">
      <w:pPr>
        <w:jc w:val="both"/>
        <w:rPr>
          <w:rFonts w:cs="Calibri"/>
          <w:color w:val="FF0000"/>
          <w:sz w:val="36"/>
          <w:szCs w:val="36"/>
        </w:rPr>
      </w:pPr>
      <w:r w:rsidRPr="00537191">
        <w:rPr>
          <w:rFonts w:cs="Calibri"/>
          <w:color w:val="000000"/>
          <w:sz w:val="36"/>
          <w:szCs w:val="36"/>
        </w:rPr>
        <w:t xml:space="preserve">Επιπροσθέτως, από το 2021 το </w:t>
      </w:r>
      <w:r w:rsidRPr="00537191">
        <w:rPr>
          <w:rFonts w:cs="Calibri"/>
          <w:color w:val="000000"/>
          <w:sz w:val="36"/>
          <w:szCs w:val="36"/>
          <w:lang w:val="en-US"/>
        </w:rPr>
        <w:t>CDC</w:t>
      </w:r>
      <w:r w:rsidRPr="00537191">
        <w:rPr>
          <w:rFonts w:cs="Calibri"/>
          <w:color w:val="000000"/>
          <w:sz w:val="36"/>
          <w:szCs w:val="36"/>
        </w:rPr>
        <w:t xml:space="preserve"> έκανε λόγο για αύξηση θανάτων από διαβήτη, ενώ το </w:t>
      </w:r>
      <w:r w:rsidRPr="00537191">
        <w:rPr>
          <w:rFonts w:cs="Calibri"/>
          <w:color w:val="000000"/>
          <w:sz w:val="36"/>
          <w:szCs w:val="36"/>
          <w:lang w:val="en-US"/>
        </w:rPr>
        <w:t>JAMA</w:t>
      </w:r>
      <w:r w:rsidRPr="00537191">
        <w:rPr>
          <w:rFonts w:cs="Calibri"/>
          <w:color w:val="000000"/>
          <w:sz w:val="36"/>
          <w:szCs w:val="36"/>
        </w:rPr>
        <w:t xml:space="preserve"> </w:t>
      </w:r>
      <w:r w:rsidRPr="00537191">
        <w:rPr>
          <w:rFonts w:cs="Calibri"/>
          <w:color w:val="000000"/>
          <w:sz w:val="36"/>
          <w:szCs w:val="36"/>
          <w:lang w:val="en-US"/>
        </w:rPr>
        <w:t>Cardiology</w:t>
      </w:r>
      <w:r w:rsidRPr="00537191">
        <w:rPr>
          <w:rFonts w:cs="Calibri"/>
          <w:color w:val="000000"/>
          <w:sz w:val="36"/>
          <w:szCs w:val="36"/>
        </w:rPr>
        <w:t xml:space="preserve"> για αύξηση των καρδιακών επεισοδίων εκτός νοσοκομειακών μονάδων. Επίσης, η Αμερικανική Ακαδημία Νευρολογίας με την Εθνική Στατιστική Υπηρεσία του Ηνωμένου Βασιλείου προσθέτουν στα στοιχεία την αύξηση των θανάτων από τις νόσους Πάρκινσον και Αλτσχάιμερ αντίστοιχα.</w:t>
      </w:r>
      <w:r w:rsidRPr="00537191">
        <w:rPr>
          <w:rFonts w:cs="Calibri"/>
          <w:color w:val="FF0000"/>
          <w:sz w:val="36"/>
          <w:szCs w:val="36"/>
        </w:rPr>
        <w:t xml:space="preserve"> </w:t>
      </w:r>
      <w:r w:rsidRPr="00537191">
        <w:rPr>
          <w:rFonts w:cs="Calibri"/>
          <w:color w:val="000000"/>
          <w:sz w:val="36"/>
          <w:szCs w:val="36"/>
        </w:rPr>
        <w:t>Από τα παραπάνω προκύπτει εύλογα το ερώτημα, ποια είναι η αιτία αυτού του προβλήματος.</w:t>
      </w:r>
      <w:r w:rsidRPr="00537191">
        <w:rPr>
          <w:rFonts w:cs="Calibri"/>
          <w:color w:val="FF0000"/>
          <w:sz w:val="36"/>
          <w:szCs w:val="36"/>
        </w:rPr>
        <w:t xml:space="preserve"> </w:t>
      </w:r>
      <w:r w:rsidRPr="00537191">
        <w:rPr>
          <w:rFonts w:cs="Calibri"/>
          <w:color w:val="000000"/>
          <w:sz w:val="36"/>
          <w:szCs w:val="36"/>
        </w:rPr>
        <w:t xml:space="preserve">Αρχικά, κανείς θα μπορούσε να σκεφτεί πως τα υγειονομικά περιοριστικά μέτρα απέτρεψαν τους ανθρώπους από τις σχετικές με την προφύλαξη της υγείας τους ενέργειες, αφού η </w:t>
      </w:r>
      <w:r w:rsidRPr="00537191">
        <w:rPr>
          <w:rFonts w:cs="Calibri"/>
          <w:color w:val="000000"/>
          <w:sz w:val="36"/>
          <w:szCs w:val="36"/>
        </w:rPr>
        <w:lastRenderedPageBreak/>
        <w:t xml:space="preserve">κύρια προσέγγιση στην αρχή της πανδημίας ήταν η μείωση των επαφών, για τον περιορισμό του ιού. Όμως, αν εμβαθύνουμε περισσότερο στο θέμα, θα παρατηρήσουμε πως η ευθύνη δεν βαραίνει τα υγειονομικά μέτρα, αλλά έγκειται στον φόβο των ανθρώπων για πιθανή έκθεσή τους στον ιό. Αυτό πιστοποιεί άρθρο της </w:t>
      </w:r>
      <w:r w:rsidRPr="00537191">
        <w:rPr>
          <w:rFonts w:cs="Calibri"/>
          <w:color w:val="000000"/>
          <w:sz w:val="36"/>
          <w:szCs w:val="36"/>
          <w:lang w:val="en-US"/>
        </w:rPr>
        <w:t>Washington</w:t>
      </w:r>
      <w:r w:rsidRPr="00537191">
        <w:rPr>
          <w:rFonts w:cs="Calibri"/>
          <w:color w:val="000000"/>
          <w:sz w:val="36"/>
          <w:szCs w:val="36"/>
        </w:rPr>
        <w:t xml:space="preserve"> </w:t>
      </w:r>
      <w:r w:rsidRPr="00537191">
        <w:rPr>
          <w:rFonts w:cs="Calibri"/>
          <w:color w:val="000000"/>
          <w:sz w:val="36"/>
          <w:szCs w:val="36"/>
          <w:lang w:val="en-US"/>
        </w:rPr>
        <w:t>Post</w:t>
      </w:r>
      <w:r w:rsidRPr="00537191">
        <w:rPr>
          <w:rFonts w:cs="Calibri"/>
          <w:color w:val="000000"/>
          <w:sz w:val="36"/>
          <w:szCs w:val="36"/>
        </w:rPr>
        <w:t xml:space="preserve">, αναφερόμενο στην έρευνα «National Poll </w:t>
      </w:r>
      <w:r w:rsidRPr="00537191">
        <w:rPr>
          <w:rFonts w:cs="Calibri"/>
          <w:color w:val="000000"/>
          <w:sz w:val="36"/>
          <w:szCs w:val="36"/>
          <w:lang w:val="en-US"/>
        </w:rPr>
        <w:t>on</w:t>
      </w:r>
      <w:r w:rsidRPr="00537191">
        <w:rPr>
          <w:rFonts w:cs="Calibri"/>
          <w:color w:val="000000"/>
          <w:sz w:val="36"/>
          <w:szCs w:val="36"/>
        </w:rPr>
        <w:t xml:space="preserve"> </w:t>
      </w:r>
      <w:r w:rsidRPr="00537191">
        <w:rPr>
          <w:rFonts w:cs="Calibri"/>
          <w:color w:val="000000"/>
          <w:sz w:val="36"/>
          <w:szCs w:val="36"/>
          <w:lang w:val="en-US"/>
        </w:rPr>
        <w:t>Healthy</w:t>
      </w:r>
      <w:r w:rsidRPr="00537191">
        <w:rPr>
          <w:rFonts w:cs="Calibri"/>
          <w:color w:val="000000"/>
          <w:sz w:val="36"/>
          <w:szCs w:val="36"/>
        </w:rPr>
        <w:t xml:space="preserve"> </w:t>
      </w:r>
      <w:r w:rsidRPr="00537191">
        <w:rPr>
          <w:rFonts w:cs="Calibri"/>
          <w:color w:val="000000"/>
          <w:sz w:val="36"/>
          <w:szCs w:val="36"/>
          <w:lang w:val="en-US"/>
        </w:rPr>
        <w:t>Aging</w:t>
      </w:r>
      <w:r w:rsidRPr="00537191">
        <w:rPr>
          <w:rFonts w:cs="Calibri"/>
          <w:color w:val="000000"/>
          <w:sz w:val="36"/>
          <w:szCs w:val="36"/>
        </w:rPr>
        <w:t xml:space="preserve">» του Πανεπιστημίου του Michigan, όπου σημειώνεται ότι τον Ιανουάριο του 2021, δηλαδή σε μία εποχή που δεν επικρατούσαν </w:t>
      </w:r>
      <w:r w:rsidRPr="00537191">
        <w:rPr>
          <w:rFonts w:cs="Calibri"/>
          <w:color w:val="000000"/>
          <w:sz w:val="36"/>
          <w:szCs w:val="36"/>
          <w:lang w:val="en-US"/>
        </w:rPr>
        <w:t>lockdowns</w:t>
      </w:r>
      <w:r w:rsidRPr="00537191">
        <w:rPr>
          <w:rFonts w:cs="Calibri"/>
          <w:color w:val="000000"/>
          <w:sz w:val="36"/>
          <w:szCs w:val="36"/>
        </w:rPr>
        <w:t xml:space="preserve"> στις ΗΠΑ, αλλά βρισκόταν σε έξαρση το στέλεχος δέλτα, η προσέλευση των ανθρώπων για τις απαραίτητες εξετάσεις είχε μειωθεί κατά 30%. Την θέση αυτή επιβεβαιώνει έρευνα του </w:t>
      </w:r>
      <w:r w:rsidRPr="00537191">
        <w:rPr>
          <w:rFonts w:cs="Calibri"/>
          <w:color w:val="000000"/>
          <w:sz w:val="36"/>
          <w:szCs w:val="36"/>
          <w:lang w:val="en-US"/>
        </w:rPr>
        <w:t>JAMA</w:t>
      </w:r>
      <w:r w:rsidRPr="00537191">
        <w:rPr>
          <w:rFonts w:cs="Calibri"/>
          <w:color w:val="000000"/>
          <w:sz w:val="36"/>
          <w:szCs w:val="36"/>
        </w:rPr>
        <w:t xml:space="preserve"> που δημοσιεύθηκε τον Φεβρουάριο του 2023, και αναφέρει πως οι προσυμπτωματικοί έλεγχοι του καρκίνου του στήθους και του πνεύμονα στις ΗΠΑ μειώνονταν τις περιόδους που τα κρούσματα αυξάνονταν, όπως τον Ιανουάριο και Φεβρουάριο του 2021 και τα τέλη του 2021 με τις αρχές του 2022, ενώ αντίθετα τις περιόδους που η πανδημία σημείωνε ύφεση, όπως το καλοκαίρι του 2020, οι έλεγχοι επέστρεφαν στα αναμενόμενα επίπεδα, γεγονός που μας αποδεικνύει ότι οι αναβολές και οι ακυρώσεις των εξετάσεων δεν συσχετίζονται με τα αυστηρά υγειονομικά μέτρα που επικροτούσαν, αλλά με τον ίδιο τον ιό. Αυτό αν μη τι άλλο, δείχνει πως ο κόσμος ακόμα </w:t>
      </w:r>
      <w:r w:rsidRPr="00537191">
        <w:rPr>
          <w:rFonts w:cs="Calibri"/>
          <w:color w:val="000000"/>
          <w:sz w:val="36"/>
          <w:szCs w:val="36"/>
        </w:rPr>
        <w:lastRenderedPageBreak/>
        <w:t xml:space="preserve">και σήμερα, που η πανδημία έχει περάσει σε άλλη φάση, πιο ελεγχόμενη εν σχέσει με το πρώτο πανδημικό έτος, φοβάται την προσέλευσή του στις μονάδες υγείας, λόγω του κορωνοϊού. Ήταν αναμενόμενο πως η πανδημία θα άφηνε στην παγκόσμια κοινότητα πολλά απότοκα, όπως συμβαίνει με πάσης φύσεως κρίσεις, π.χ. πόλεμος, οικονομική κρίση κλπ. Δυστυχώς, βλέπουμε πως η παρούσα υγειονομική κρίση εκτός από τους άμεσους θανάτους από τον ιό, επιφέρει και έμμεσους θανάτους, που δεν οφείλονται σε αυτόν, αλλά προκύπτουν εξαιτίας αυτού, είτε με τους λόγους που προαναφέραμε είτε με τα προβλήματα υγείας που αφήνει σε όσους νόσησαν από αυτόν. </w:t>
      </w:r>
    </w:p>
    <w:p w14:paraId="6C477A95" w14:textId="77777777" w:rsidR="002F63B6" w:rsidRPr="00537191" w:rsidRDefault="002F63B6" w:rsidP="00903A2F">
      <w:pPr>
        <w:jc w:val="both"/>
        <w:rPr>
          <w:rFonts w:cs="Calibri"/>
          <w:b/>
          <w:color w:val="000000"/>
          <w:sz w:val="36"/>
          <w:szCs w:val="36"/>
          <w:u w:val="single"/>
        </w:rPr>
      </w:pPr>
    </w:p>
    <w:p w14:paraId="0D36A702" w14:textId="77777777" w:rsidR="002F63B6" w:rsidRPr="00537191" w:rsidRDefault="002F63B6" w:rsidP="00903A2F">
      <w:pPr>
        <w:jc w:val="both"/>
        <w:rPr>
          <w:rFonts w:cs="Calibri"/>
          <w:b/>
          <w:color w:val="000000"/>
          <w:sz w:val="36"/>
          <w:szCs w:val="36"/>
          <w:u w:val="single"/>
        </w:rPr>
      </w:pPr>
      <w:r w:rsidRPr="00537191">
        <w:rPr>
          <w:rFonts w:cs="Calibri"/>
          <w:b/>
          <w:color w:val="000000"/>
          <w:sz w:val="36"/>
          <w:szCs w:val="36"/>
          <w:u w:val="single"/>
        </w:rPr>
        <w:t>Η διαχρονική αύξηση των θανάτων στην Ελλάδα</w:t>
      </w:r>
    </w:p>
    <w:p w14:paraId="04B1BB64"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Εγείρεται λοιπόν το ερώτημα, αν οι παραπάνω λόγοι που προκαλούν τους υπερβάλλοντες θανάτους συντρέχουν και στην χώρα μας, και αν υπάρχει και στην Ελλάδα </w:t>
      </w:r>
      <w:r w:rsidRPr="00537191">
        <w:rPr>
          <w:rFonts w:cs="Calibri"/>
          <w:color w:val="000000"/>
          <w:sz w:val="36"/>
          <w:szCs w:val="36"/>
          <w:lang w:val="en-US"/>
        </w:rPr>
        <w:t>non</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xml:space="preserve"> υπερβάλλουσα θνησιμότητα. Βλέπουμε στα παρακάτω στοιχεία, ότι στην Ελλάδα ο μέσος όρος θανάτων την τριετία της πανδημίας είναι 138.056, αυξημένος κατά 16.570 θανάτους σε σχέση με την πενταετία 2015-2019, που ο μέσος όρος ήταν 121.486. Αν λοιπόν εξαιρέσουμε τους θανάτους από κορωνοϊό, ο μέσος όρος της τελευταίας τριετίας είναι </w:t>
      </w:r>
      <w:r w:rsidRPr="00537191">
        <w:rPr>
          <w:rFonts w:cs="Calibri"/>
          <w:color w:val="000000"/>
          <w:sz w:val="36"/>
          <w:szCs w:val="36"/>
        </w:rPr>
        <w:lastRenderedPageBreak/>
        <w:t xml:space="preserve">126.487 θάνατοι, προκύπτοντας έτσι 5.001 περισσότεροι θάνατοι από τον μέσο όρο της τελευταίας προπανδημικής πενταετίας. Εν πρώτοις, φαίνεται πως η </w:t>
      </w:r>
      <w:r w:rsidRPr="00537191">
        <w:rPr>
          <w:rFonts w:cs="Calibri"/>
          <w:color w:val="000000"/>
          <w:sz w:val="36"/>
          <w:szCs w:val="36"/>
          <w:lang w:val="en-US"/>
        </w:rPr>
        <w:t>non</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xml:space="preserve"> υπερβάλλουσα θνησιμότητα έχει πλήξει και την Ελλάδα, όμως στην χώρα μας υπάρχει μία ιδιαιτερότητα, αφού βλέπουμε πως οι θάνατοι ανά πενταετία παρουσιάζουν συνεχή άνοδο από το 1955 μέχρι σήμερα, με την αύξηση των μέσων όρων πενταετίας να είναι μεγαλύτερη των 3.000 θανάτων σε όλες τις μεταβολές. </w:t>
      </w:r>
    </w:p>
    <w:p w14:paraId="316E9FA1"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Επομένως, η αύξηση που σημειώθηκε από το 2020 έως σήμερα σε σχέση με την πενταετία 2015-2019 κυμαίνεται σε αναμενόμενα επίπεδα. Ακόμα και οι κατά έτος μεταβολές των θανάτων που είδαμε στον πρώτο πίνακα, και που αφορούν στους θανάτους εκτός κορωνοϊού, δεν διαφέρουν από περιπτώσεις παλαιότερων μεταβολών, οι οποίες σε ορισμένες περιπτώσεις ήταν μεγάλης τάξεως, όπως για παράδειγμα το 2015 που οι θάνατοι αυξήθηκαν κατά 7.443 σε σχέση με το 2014 (+6,54%), αλλά και το 2013 που μειώθηκαν κατά 4.874 συγκριτικά με το 2012 (-4,18). Οι μεταβολές αυτές πολλές φορές είναι τυχαίες, παρ’ όλα αυτά, δεν γνωρίζουμε πόση θα ήταν η αύξηση των θανάτων αν δεν υπήρχε ο κορωνοϊός, και τι ποσοστό αυτής της αύξησης οφείλεται (και αν οφείλεται) σε απότοκα της πανδημίας. Για το θέμα αυτό πρέπει να διενεργηθούν σχετικές έρευνες στην χώρα </w:t>
      </w:r>
      <w:r w:rsidRPr="00537191">
        <w:rPr>
          <w:rFonts w:cs="Calibri"/>
          <w:color w:val="000000"/>
          <w:sz w:val="36"/>
          <w:szCs w:val="36"/>
        </w:rPr>
        <w:lastRenderedPageBreak/>
        <w:t>μας, γιατί τα στοιχεία επί του παρόντος είναι πολύ περιορισμένα για να εξαχθούν ασφαλή συμπεράσματα.</w:t>
      </w:r>
    </w:p>
    <w:p w14:paraId="7BEEB515"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Όμως, αυτό που μπορούμε να εκφράσουμε με μεγαλύτερη σαφήνεια, είναι πως σε κάθε κρίση διασαλεύεται ο κοινωνικός ιστός, και αυτό αποτυπώνεται και στο ζήτημα των θανάτων, αφού βλέπουμε πως και την περίοδο της οικονομικής κρίσης ο μέσος όρος των θανάτων αυξήθηκε, κατά 9.009 θανάτους την πενταετία 2015-2019 σε σχέση με εκείνη που προηγήθηκε. Για την Ελλάδα συγκεκριμένα, η χρονική αλληλουχία που έλαβαν χώρα τα γεγονότα της οικονομικής κρίσης και της πανδημίας ήταν ακόμα πιο επώδυνη συγκριτικά με τα άλλα κράτη, διότι μετά την χειρότερη πενταετία σε θανάτους ακολούθησε η πανδημία που επέφερε ακόμα μεγαλύτερη αύξηση. Η συνεχής αύξηση των θανάτων είναι ένα από τα μεγαλύτερα δεινά που μαστίζουν την Ελλάδα και ο βασικότερος λόγος αυτού αποτελεί η γήρανση του πληθυσμού, με την χώρα μας να είναι από τις πιο γερασμένες χώρες στον ανεπτυγμένο κόσμο. Είναι φυσικό πως όσο αυξάνεται το προσδόκιμο ζωής, που στην Ελλάδα είναι πλέον περίπου στα 80 έτη από τα 65 που ήταν το 1955, τόσο θα αυξάνεται και ο πληθυσμός των ηλικιωμένων ατόμων. Επομένως, χρειάζεται ένα σύστημα υγείας, που μεταξύ άλλων να μπορεί να εξυπηρετεί αυτούς τους ανθρώπους και να διατηρεί σε </w:t>
      </w:r>
      <w:r w:rsidRPr="00537191">
        <w:rPr>
          <w:rFonts w:cs="Calibri"/>
          <w:color w:val="000000"/>
          <w:sz w:val="36"/>
          <w:szCs w:val="36"/>
        </w:rPr>
        <w:lastRenderedPageBreak/>
        <w:t>ποιοτικά επίπεδα αυτά τα επιπλέον χρόνια που κερδήθηκαν.</w:t>
      </w:r>
      <w:r w:rsidRPr="00537191">
        <w:rPr>
          <w:rFonts w:cs="Calibri"/>
          <w:color w:val="FF0000"/>
          <w:sz w:val="36"/>
          <w:szCs w:val="36"/>
        </w:rPr>
        <w:t xml:space="preserve">  </w:t>
      </w:r>
    </w:p>
    <w:p w14:paraId="0FA5DF6B" w14:textId="77777777" w:rsidR="002F63B6" w:rsidRPr="00537191" w:rsidRDefault="002F63B6" w:rsidP="00903A2F">
      <w:pPr>
        <w:jc w:val="both"/>
        <w:rPr>
          <w:rFonts w:cs="Calibri"/>
          <w:color w:val="000000"/>
          <w:sz w:val="36"/>
          <w:szCs w:val="36"/>
        </w:rPr>
      </w:pPr>
    </w:p>
    <w:p w14:paraId="6978B7DA" w14:textId="77777777" w:rsidR="002F63B6" w:rsidRPr="00537191" w:rsidRDefault="002F63B6" w:rsidP="00903A2F">
      <w:pPr>
        <w:jc w:val="both"/>
        <w:rPr>
          <w:rFonts w:cs="Calibri"/>
          <w:color w:val="000000"/>
          <w:sz w:val="36"/>
          <w:szCs w:val="36"/>
        </w:rPr>
      </w:pPr>
    </w:p>
    <w:p w14:paraId="573217EF" w14:textId="77777777" w:rsidR="002F63B6" w:rsidRPr="00537191" w:rsidRDefault="002F63B6" w:rsidP="00903A2F">
      <w:pPr>
        <w:jc w:val="both"/>
        <w:rPr>
          <w:rFonts w:cs="Calibri"/>
          <w:color w:val="000000"/>
          <w:sz w:val="36"/>
          <w:szCs w:val="36"/>
        </w:rPr>
      </w:pPr>
    </w:p>
    <w:p w14:paraId="37CD21B0" w14:textId="77777777" w:rsidR="002F63B6" w:rsidRPr="00537191" w:rsidRDefault="002F63B6" w:rsidP="00903A2F">
      <w:pPr>
        <w:jc w:val="both"/>
        <w:rPr>
          <w:rFonts w:cs="Calibri"/>
          <w:color w:val="000000"/>
          <w:sz w:val="36"/>
          <w:szCs w:val="36"/>
        </w:rPr>
      </w:pPr>
    </w:p>
    <w:p w14:paraId="53922C10" w14:textId="77777777" w:rsidR="002F63B6" w:rsidRPr="00537191" w:rsidRDefault="002F63B6" w:rsidP="00903A2F">
      <w:pPr>
        <w:jc w:val="both"/>
        <w:rPr>
          <w:rFonts w:cs="Calibri"/>
          <w:color w:val="000000"/>
          <w:sz w:val="36"/>
          <w:szCs w:val="36"/>
        </w:rPr>
      </w:pPr>
    </w:p>
    <w:p w14:paraId="29B13476" w14:textId="77777777" w:rsidR="002F63B6" w:rsidRPr="00537191" w:rsidRDefault="002F63B6" w:rsidP="00903A2F">
      <w:pPr>
        <w:jc w:val="both"/>
        <w:rPr>
          <w:rFonts w:cs="Calibri"/>
          <w:color w:val="000000"/>
          <w:sz w:val="36"/>
          <w:szCs w:val="36"/>
        </w:rPr>
      </w:pPr>
    </w:p>
    <w:p w14:paraId="0E3653C2" w14:textId="77777777" w:rsidR="002F63B6" w:rsidRPr="00537191" w:rsidRDefault="002F63B6" w:rsidP="00903A2F">
      <w:pPr>
        <w:jc w:val="both"/>
        <w:rPr>
          <w:rFonts w:cs="Calibri"/>
          <w:color w:val="000000"/>
          <w:sz w:val="36"/>
          <w:szCs w:val="36"/>
        </w:rPr>
      </w:pPr>
    </w:p>
    <w:tbl>
      <w:tblPr>
        <w:tblpPr w:leftFromText="180" w:rightFromText="180" w:vertAnchor="text" w:horzAnchor="margin"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706"/>
        <w:gridCol w:w="1811"/>
      </w:tblGrid>
      <w:tr w:rsidR="002F63B6" w:rsidRPr="00537191" w14:paraId="6A67BB97" w14:textId="77777777" w:rsidTr="00EF621E">
        <w:trPr>
          <w:trHeight w:val="255"/>
        </w:trPr>
        <w:tc>
          <w:tcPr>
            <w:tcW w:w="2088" w:type="dxa"/>
            <w:tcBorders>
              <w:top w:val="single" w:sz="18" w:space="0" w:color="auto"/>
              <w:left w:val="single" w:sz="18" w:space="0" w:color="auto"/>
              <w:bottom w:val="single" w:sz="12" w:space="0" w:color="auto"/>
              <w:right w:val="single" w:sz="12" w:space="0" w:color="auto"/>
            </w:tcBorders>
            <w:noWrap/>
            <w:vAlign w:val="center"/>
          </w:tcPr>
          <w:p w14:paraId="5537F87E"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Περίοδος</w:t>
            </w:r>
          </w:p>
        </w:tc>
        <w:tc>
          <w:tcPr>
            <w:tcW w:w="1706" w:type="dxa"/>
            <w:tcBorders>
              <w:top w:val="single" w:sz="18" w:space="0" w:color="auto"/>
              <w:left w:val="single" w:sz="12" w:space="0" w:color="auto"/>
              <w:bottom w:val="single" w:sz="12" w:space="0" w:color="auto"/>
            </w:tcBorders>
            <w:noWrap/>
            <w:vAlign w:val="center"/>
          </w:tcPr>
          <w:p w14:paraId="5F44CA65"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Μ.Ο. Θανάτων</w:t>
            </w:r>
          </w:p>
        </w:tc>
        <w:tc>
          <w:tcPr>
            <w:tcW w:w="1276" w:type="dxa"/>
            <w:tcBorders>
              <w:top w:val="single" w:sz="18" w:space="0" w:color="auto"/>
              <w:bottom w:val="single" w:sz="12" w:space="0" w:color="auto"/>
              <w:right w:val="single" w:sz="18" w:space="0" w:color="auto"/>
            </w:tcBorders>
            <w:noWrap/>
            <w:vAlign w:val="center"/>
          </w:tcPr>
          <w:p w14:paraId="6D156F9D"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Μεταβολή</w:t>
            </w:r>
          </w:p>
        </w:tc>
      </w:tr>
      <w:tr w:rsidR="002F63B6" w:rsidRPr="00537191" w14:paraId="55AC8FFC" w14:textId="77777777" w:rsidTr="00EF621E">
        <w:trPr>
          <w:trHeight w:val="255"/>
        </w:trPr>
        <w:tc>
          <w:tcPr>
            <w:tcW w:w="2088" w:type="dxa"/>
            <w:tcBorders>
              <w:top w:val="single" w:sz="12" w:space="0" w:color="auto"/>
              <w:left w:val="single" w:sz="18" w:space="0" w:color="auto"/>
              <w:right w:val="single" w:sz="12" w:space="0" w:color="auto"/>
            </w:tcBorders>
            <w:noWrap/>
            <w:vAlign w:val="center"/>
          </w:tcPr>
          <w:p w14:paraId="28947CE1"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1955-59</w:t>
            </w:r>
          </w:p>
        </w:tc>
        <w:tc>
          <w:tcPr>
            <w:tcW w:w="1706" w:type="dxa"/>
            <w:tcBorders>
              <w:top w:val="single" w:sz="12" w:space="0" w:color="auto"/>
              <w:left w:val="single" w:sz="12" w:space="0" w:color="auto"/>
            </w:tcBorders>
            <w:noWrap/>
            <w:vAlign w:val="center"/>
          </w:tcPr>
          <w:p w14:paraId="6387823A"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58.984</w:t>
            </w:r>
          </w:p>
        </w:tc>
        <w:tc>
          <w:tcPr>
            <w:tcW w:w="1276" w:type="dxa"/>
            <w:tcBorders>
              <w:top w:val="single" w:sz="12" w:space="0" w:color="auto"/>
              <w:right w:val="single" w:sz="18" w:space="0" w:color="auto"/>
            </w:tcBorders>
            <w:noWrap/>
            <w:vAlign w:val="center"/>
          </w:tcPr>
          <w:p w14:paraId="609BD7A4" w14:textId="77777777" w:rsidR="002F63B6" w:rsidRPr="00537191" w:rsidRDefault="002F63B6" w:rsidP="00903A2F">
            <w:pPr>
              <w:spacing w:after="0" w:line="240" w:lineRule="auto"/>
              <w:jc w:val="both"/>
              <w:rPr>
                <w:rFonts w:cs="Calibri"/>
                <w:sz w:val="36"/>
                <w:szCs w:val="36"/>
              </w:rPr>
            </w:pPr>
          </w:p>
        </w:tc>
      </w:tr>
      <w:tr w:rsidR="002F63B6" w:rsidRPr="00537191" w14:paraId="6567B352" w14:textId="77777777" w:rsidTr="00EF621E">
        <w:trPr>
          <w:trHeight w:val="255"/>
        </w:trPr>
        <w:tc>
          <w:tcPr>
            <w:tcW w:w="2088" w:type="dxa"/>
            <w:tcBorders>
              <w:left w:val="single" w:sz="18" w:space="0" w:color="auto"/>
              <w:right w:val="single" w:sz="12" w:space="0" w:color="auto"/>
            </w:tcBorders>
            <w:noWrap/>
            <w:vAlign w:val="center"/>
          </w:tcPr>
          <w:p w14:paraId="581C957B"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1960-64</w:t>
            </w:r>
          </w:p>
        </w:tc>
        <w:tc>
          <w:tcPr>
            <w:tcW w:w="1706" w:type="dxa"/>
            <w:tcBorders>
              <w:left w:val="single" w:sz="12" w:space="0" w:color="auto"/>
            </w:tcBorders>
            <w:noWrap/>
            <w:vAlign w:val="center"/>
          </w:tcPr>
          <w:p w14:paraId="5B9F6ED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65.463</w:t>
            </w:r>
          </w:p>
        </w:tc>
        <w:tc>
          <w:tcPr>
            <w:tcW w:w="1276" w:type="dxa"/>
            <w:tcBorders>
              <w:right w:val="single" w:sz="18" w:space="0" w:color="auto"/>
            </w:tcBorders>
            <w:noWrap/>
            <w:vAlign w:val="center"/>
          </w:tcPr>
          <w:p w14:paraId="0E6C222C" w14:textId="77777777" w:rsidR="002F63B6" w:rsidRPr="00537191" w:rsidRDefault="002F63B6" w:rsidP="00903A2F">
            <w:pPr>
              <w:spacing w:after="0" w:line="240" w:lineRule="auto"/>
              <w:jc w:val="both"/>
              <w:rPr>
                <w:rFonts w:cs="Calibri"/>
                <w:sz w:val="36"/>
                <w:szCs w:val="36"/>
              </w:rPr>
            </w:pPr>
            <w:r w:rsidRPr="00537191">
              <w:rPr>
                <w:rFonts w:cs="Calibri"/>
                <w:sz w:val="36"/>
                <w:szCs w:val="36"/>
              </w:rPr>
              <w:t>6.479</w:t>
            </w:r>
          </w:p>
        </w:tc>
      </w:tr>
      <w:tr w:rsidR="002F63B6" w:rsidRPr="00537191" w14:paraId="6180815F" w14:textId="77777777" w:rsidTr="00EF621E">
        <w:trPr>
          <w:trHeight w:val="255"/>
        </w:trPr>
        <w:tc>
          <w:tcPr>
            <w:tcW w:w="2088" w:type="dxa"/>
            <w:tcBorders>
              <w:left w:val="single" w:sz="18" w:space="0" w:color="auto"/>
              <w:right w:val="single" w:sz="12" w:space="0" w:color="auto"/>
            </w:tcBorders>
            <w:noWrap/>
            <w:vAlign w:val="center"/>
          </w:tcPr>
          <w:p w14:paraId="5657399D"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1965-69</w:t>
            </w:r>
          </w:p>
        </w:tc>
        <w:tc>
          <w:tcPr>
            <w:tcW w:w="1706" w:type="dxa"/>
            <w:tcBorders>
              <w:left w:val="single" w:sz="12" w:space="0" w:color="auto"/>
            </w:tcBorders>
            <w:noWrap/>
            <w:vAlign w:val="center"/>
          </w:tcPr>
          <w:p w14:paraId="6B4A1A4B" w14:textId="77777777" w:rsidR="002F63B6" w:rsidRPr="00537191" w:rsidRDefault="002F63B6" w:rsidP="00903A2F">
            <w:pPr>
              <w:spacing w:after="0" w:line="240" w:lineRule="auto"/>
              <w:jc w:val="both"/>
              <w:rPr>
                <w:rFonts w:cs="Calibri"/>
                <w:sz w:val="36"/>
                <w:szCs w:val="36"/>
              </w:rPr>
            </w:pPr>
            <w:r w:rsidRPr="00537191">
              <w:rPr>
                <w:rFonts w:cs="Calibri"/>
                <w:sz w:val="36"/>
                <w:szCs w:val="36"/>
              </w:rPr>
              <w:t>70.458</w:t>
            </w:r>
          </w:p>
        </w:tc>
        <w:tc>
          <w:tcPr>
            <w:tcW w:w="1276" w:type="dxa"/>
            <w:tcBorders>
              <w:right w:val="single" w:sz="18" w:space="0" w:color="auto"/>
            </w:tcBorders>
            <w:noWrap/>
            <w:vAlign w:val="center"/>
          </w:tcPr>
          <w:p w14:paraId="14DF9C6B" w14:textId="77777777" w:rsidR="002F63B6" w:rsidRPr="00537191" w:rsidRDefault="002F63B6" w:rsidP="00903A2F">
            <w:pPr>
              <w:spacing w:after="0" w:line="240" w:lineRule="auto"/>
              <w:jc w:val="both"/>
              <w:rPr>
                <w:rFonts w:cs="Calibri"/>
                <w:sz w:val="36"/>
                <w:szCs w:val="36"/>
              </w:rPr>
            </w:pPr>
            <w:r w:rsidRPr="00537191">
              <w:rPr>
                <w:rFonts w:cs="Calibri"/>
                <w:sz w:val="36"/>
                <w:szCs w:val="36"/>
              </w:rPr>
              <w:t>4.995</w:t>
            </w:r>
          </w:p>
        </w:tc>
      </w:tr>
      <w:tr w:rsidR="002F63B6" w:rsidRPr="00537191" w14:paraId="199E4B9B" w14:textId="77777777" w:rsidTr="00EF621E">
        <w:trPr>
          <w:trHeight w:val="255"/>
        </w:trPr>
        <w:tc>
          <w:tcPr>
            <w:tcW w:w="2088" w:type="dxa"/>
            <w:tcBorders>
              <w:left w:val="single" w:sz="18" w:space="0" w:color="auto"/>
              <w:right w:val="single" w:sz="12" w:space="0" w:color="auto"/>
            </w:tcBorders>
            <w:noWrap/>
            <w:vAlign w:val="center"/>
          </w:tcPr>
          <w:p w14:paraId="19F004D0"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1970-74</w:t>
            </w:r>
          </w:p>
        </w:tc>
        <w:tc>
          <w:tcPr>
            <w:tcW w:w="1706" w:type="dxa"/>
            <w:tcBorders>
              <w:left w:val="single" w:sz="12" w:space="0" w:color="auto"/>
            </w:tcBorders>
            <w:noWrap/>
            <w:vAlign w:val="center"/>
          </w:tcPr>
          <w:p w14:paraId="27F5573C" w14:textId="77777777" w:rsidR="002F63B6" w:rsidRPr="00537191" w:rsidRDefault="002F63B6" w:rsidP="00903A2F">
            <w:pPr>
              <w:spacing w:after="0" w:line="240" w:lineRule="auto"/>
              <w:jc w:val="both"/>
              <w:rPr>
                <w:rFonts w:cs="Calibri"/>
                <w:sz w:val="36"/>
                <w:szCs w:val="36"/>
              </w:rPr>
            </w:pPr>
            <w:r w:rsidRPr="00537191">
              <w:rPr>
                <w:rFonts w:cs="Calibri"/>
                <w:sz w:val="36"/>
                <w:szCs w:val="36"/>
              </w:rPr>
              <w:t>75.728</w:t>
            </w:r>
          </w:p>
        </w:tc>
        <w:tc>
          <w:tcPr>
            <w:tcW w:w="1276" w:type="dxa"/>
            <w:tcBorders>
              <w:right w:val="single" w:sz="18" w:space="0" w:color="auto"/>
            </w:tcBorders>
            <w:noWrap/>
            <w:vAlign w:val="center"/>
          </w:tcPr>
          <w:p w14:paraId="0A207111"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5.270</w:t>
            </w:r>
          </w:p>
        </w:tc>
      </w:tr>
      <w:tr w:rsidR="002F63B6" w:rsidRPr="00537191" w14:paraId="6EFC4CDF" w14:textId="77777777" w:rsidTr="00EF621E">
        <w:trPr>
          <w:trHeight w:val="255"/>
        </w:trPr>
        <w:tc>
          <w:tcPr>
            <w:tcW w:w="2088" w:type="dxa"/>
            <w:tcBorders>
              <w:left w:val="single" w:sz="18" w:space="0" w:color="auto"/>
              <w:right w:val="single" w:sz="12" w:space="0" w:color="auto"/>
            </w:tcBorders>
            <w:noWrap/>
            <w:vAlign w:val="center"/>
          </w:tcPr>
          <w:p w14:paraId="68C73626"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1975-79</w:t>
            </w:r>
          </w:p>
        </w:tc>
        <w:tc>
          <w:tcPr>
            <w:tcW w:w="1706" w:type="dxa"/>
            <w:tcBorders>
              <w:left w:val="single" w:sz="12" w:space="0" w:color="auto"/>
            </w:tcBorders>
            <w:noWrap/>
            <w:vAlign w:val="center"/>
          </w:tcPr>
          <w:p w14:paraId="3D753C8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81.920</w:t>
            </w:r>
          </w:p>
        </w:tc>
        <w:tc>
          <w:tcPr>
            <w:tcW w:w="1276" w:type="dxa"/>
            <w:tcBorders>
              <w:right w:val="single" w:sz="18" w:space="0" w:color="auto"/>
            </w:tcBorders>
            <w:noWrap/>
            <w:vAlign w:val="center"/>
          </w:tcPr>
          <w:p w14:paraId="559FD00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6.192</w:t>
            </w:r>
          </w:p>
        </w:tc>
      </w:tr>
      <w:tr w:rsidR="002F63B6" w:rsidRPr="00537191" w14:paraId="2540506F" w14:textId="77777777" w:rsidTr="00EF621E">
        <w:trPr>
          <w:trHeight w:val="255"/>
        </w:trPr>
        <w:tc>
          <w:tcPr>
            <w:tcW w:w="2088" w:type="dxa"/>
            <w:tcBorders>
              <w:left w:val="single" w:sz="18" w:space="0" w:color="auto"/>
              <w:right w:val="single" w:sz="12" w:space="0" w:color="auto"/>
            </w:tcBorders>
            <w:noWrap/>
            <w:vAlign w:val="center"/>
          </w:tcPr>
          <w:p w14:paraId="601DE6EB"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1980-84</w:t>
            </w:r>
          </w:p>
        </w:tc>
        <w:tc>
          <w:tcPr>
            <w:tcW w:w="1706" w:type="dxa"/>
            <w:tcBorders>
              <w:left w:val="single" w:sz="12" w:space="0" w:color="auto"/>
            </w:tcBorders>
            <w:noWrap/>
            <w:vAlign w:val="center"/>
          </w:tcPr>
          <w:p w14:paraId="7630B264" w14:textId="77777777" w:rsidR="002F63B6" w:rsidRPr="00537191" w:rsidRDefault="002F63B6" w:rsidP="00903A2F">
            <w:pPr>
              <w:spacing w:after="0" w:line="240" w:lineRule="auto"/>
              <w:jc w:val="both"/>
              <w:rPr>
                <w:rFonts w:cs="Calibri"/>
                <w:sz w:val="36"/>
                <w:szCs w:val="36"/>
              </w:rPr>
            </w:pPr>
            <w:r w:rsidRPr="00537191">
              <w:rPr>
                <w:rFonts w:cs="Calibri"/>
                <w:sz w:val="36"/>
                <w:szCs w:val="36"/>
              </w:rPr>
              <w:t>87.775</w:t>
            </w:r>
          </w:p>
        </w:tc>
        <w:tc>
          <w:tcPr>
            <w:tcW w:w="1276" w:type="dxa"/>
            <w:tcBorders>
              <w:right w:val="single" w:sz="18" w:space="0" w:color="auto"/>
            </w:tcBorders>
            <w:noWrap/>
            <w:vAlign w:val="center"/>
          </w:tcPr>
          <w:p w14:paraId="45388B2E"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5.855</w:t>
            </w:r>
          </w:p>
        </w:tc>
      </w:tr>
      <w:tr w:rsidR="002F63B6" w:rsidRPr="00537191" w14:paraId="18FE4ACD" w14:textId="77777777" w:rsidTr="00EF621E">
        <w:trPr>
          <w:trHeight w:val="255"/>
        </w:trPr>
        <w:tc>
          <w:tcPr>
            <w:tcW w:w="2088" w:type="dxa"/>
            <w:tcBorders>
              <w:left w:val="single" w:sz="18" w:space="0" w:color="auto"/>
              <w:right w:val="single" w:sz="12" w:space="0" w:color="auto"/>
            </w:tcBorders>
            <w:noWrap/>
            <w:vAlign w:val="center"/>
          </w:tcPr>
          <w:p w14:paraId="2F5A7B4E"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1985-89</w:t>
            </w:r>
          </w:p>
        </w:tc>
        <w:tc>
          <w:tcPr>
            <w:tcW w:w="1706" w:type="dxa"/>
            <w:tcBorders>
              <w:left w:val="single" w:sz="12" w:space="0" w:color="auto"/>
            </w:tcBorders>
            <w:noWrap/>
            <w:vAlign w:val="center"/>
          </w:tcPr>
          <w:p w14:paraId="3D39360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93.091</w:t>
            </w:r>
          </w:p>
        </w:tc>
        <w:tc>
          <w:tcPr>
            <w:tcW w:w="1276" w:type="dxa"/>
            <w:tcBorders>
              <w:right w:val="single" w:sz="18" w:space="0" w:color="auto"/>
            </w:tcBorders>
            <w:noWrap/>
            <w:vAlign w:val="center"/>
          </w:tcPr>
          <w:p w14:paraId="56DA8A73"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5.316</w:t>
            </w:r>
          </w:p>
        </w:tc>
      </w:tr>
      <w:tr w:rsidR="002F63B6" w:rsidRPr="00537191" w14:paraId="03DA871A" w14:textId="77777777" w:rsidTr="00EF621E">
        <w:trPr>
          <w:trHeight w:val="255"/>
        </w:trPr>
        <w:tc>
          <w:tcPr>
            <w:tcW w:w="2088" w:type="dxa"/>
            <w:tcBorders>
              <w:left w:val="single" w:sz="18" w:space="0" w:color="auto"/>
              <w:right w:val="single" w:sz="12" w:space="0" w:color="auto"/>
            </w:tcBorders>
            <w:noWrap/>
            <w:vAlign w:val="center"/>
          </w:tcPr>
          <w:p w14:paraId="6E8858F6"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1990-94</w:t>
            </w:r>
          </w:p>
        </w:tc>
        <w:tc>
          <w:tcPr>
            <w:tcW w:w="1706" w:type="dxa"/>
            <w:tcBorders>
              <w:left w:val="single" w:sz="12" w:space="0" w:color="auto"/>
            </w:tcBorders>
            <w:noWrap/>
            <w:vAlign w:val="center"/>
          </w:tcPr>
          <w:p w14:paraId="7FC9C1EF" w14:textId="77777777" w:rsidR="002F63B6" w:rsidRPr="00537191" w:rsidRDefault="002F63B6" w:rsidP="00903A2F">
            <w:pPr>
              <w:spacing w:after="0" w:line="240" w:lineRule="auto"/>
              <w:jc w:val="both"/>
              <w:rPr>
                <w:rFonts w:cs="Calibri"/>
                <w:sz w:val="36"/>
                <w:szCs w:val="36"/>
              </w:rPr>
            </w:pPr>
            <w:r w:rsidRPr="00537191">
              <w:rPr>
                <w:rFonts w:cs="Calibri"/>
                <w:sz w:val="36"/>
                <w:szCs w:val="36"/>
              </w:rPr>
              <w:t>96.622</w:t>
            </w:r>
          </w:p>
        </w:tc>
        <w:tc>
          <w:tcPr>
            <w:tcW w:w="1276" w:type="dxa"/>
            <w:tcBorders>
              <w:right w:val="single" w:sz="18" w:space="0" w:color="auto"/>
            </w:tcBorders>
            <w:noWrap/>
            <w:vAlign w:val="center"/>
          </w:tcPr>
          <w:p w14:paraId="7A21F5AA"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3.531</w:t>
            </w:r>
          </w:p>
        </w:tc>
      </w:tr>
      <w:tr w:rsidR="002F63B6" w:rsidRPr="00537191" w14:paraId="4C004597" w14:textId="77777777" w:rsidTr="00EF621E">
        <w:trPr>
          <w:trHeight w:val="255"/>
        </w:trPr>
        <w:tc>
          <w:tcPr>
            <w:tcW w:w="2088" w:type="dxa"/>
            <w:tcBorders>
              <w:left w:val="single" w:sz="18" w:space="0" w:color="auto"/>
              <w:right w:val="single" w:sz="12" w:space="0" w:color="auto"/>
            </w:tcBorders>
            <w:noWrap/>
            <w:vAlign w:val="center"/>
          </w:tcPr>
          <w:p w14:paraId="717DAC29"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1995-99</w:t>
            </w:r>
          </w:p>
        </w:tc>
        <w:tc>
          <w:tcPr>
            <w:tcW w:w="1706" w:type="dxa"/>
            <w:tcBorders>
              <w:left w:val="single" w:sz="12" w:space="0" w:color="auto"/>
            </w:tcBorders>
            <w:noWrap/>
            <w:vAlign w:val="center"/>
          </w:tcPr>
          <w:p w14:paraId="7D42982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101.322</w:t>
            </w:r>
          </w:p>
        </w:tc>
        <w:tc>
          <w:tcPr>
            <w:tcW w:w="1276" w:type="dxa"/>
            <w:tcBorders>
              <w:right w:val="single" w:sz="18" w:space="0" w:color="auto"/>
            </w:tcBorders>
            <w:noWrap/>
            <w:vAlign w:val="center"/>
          </w:tcPr>
          <w:p w14:paraId="7ED4FD24" w14:textId="77777777" w:rsidR="002F63B6" w:rsidRPr="00537191" w:rsidRDefault="002F63B6" w:rsidP="00903A2F">
            <w:pPr>
              <w:spacing w:after="0" w:line="240" w:lineRule="auto"/>
              <w:jc w:val="both"/>
              <w:rPr>
                <w:rFonts w:cs="Calibri"/>
                <w:sz w:val="36"/>
                <w:szCs w:val="36"/>
              </w:rPr>
            </w:pPr>
            <w:r w:rsidRPr="00537191">
              <w:rPr>
                <w:rFonts w:cs="Calibri"/>
                <w:sz w:val="36"/>
                <w:szCs w:val="36"/>
              </w:rPr>
              <w:t>4.700</w:t>
            </w:r>
          </w:p>
        </w:tc>
      </w:tr>
      <w:tr w:rsidR="002F63B6" w:rsidRPr="00537191" w14:paraId="7B7DE8E0" w14:textId="77777777" w:rsidTr="00EF621E">
        <w:trPr>
          <w:trHeight w:val="255"/>
        </w:trPr>
        <w:tc>
          <w:tcPr>
            <w:tcW w:w="2088" w:type="dxa"/>
            <w:tcBorders>
              <w:left w:val="single" w:sz="18" w:space="0" w:color="auto"/>
              <w:right w:val="single" w:sz="12" w:space="0" w:color="auto"/>
            </w:tcBorders>
            <w:noWrap/>
            <w:vAlign w:val="center"/>
          </w:tcPr>
          <w:p w14:paraId="417A80E8"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2000-04</w:t>
            </w:r>
          </w:p>
        </w:tc>
        <w:tc>
          <w:tcPr>
            <w:tcW w:w="1706" w:type="dxa"/>
            <w:tcBorders>
              <w:left w:val="single" w:sz="12" w:space="0" w:color="auto"/>
            </w:tcBorders>
            <w:noWrap/>
            <w:vAlign w:val="center"/>
          </w:tcPr>
          <w:p w14:paraId="13B00FF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104.423</w:t>
            </w:r>
          </w:p>
        </w:tc>
        <w:tc>
          <w:tcPr>
            <w:tcW w:w="1276" w:type="dxa"/>
            <w:tcBorders>
              <w:right w:val="single" w:sz="18" w:space="0" w:color="auto"/>
            </w:tcBorders>
            <w:noWrap/>
            <w:vAlign w:val="center"/>
          </w:tcPr>
          <w:p w14:paraId="64611560"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3.101</w:t>
            </w:r>
          </w:p>
        </w:tc>
      </w:tr>
      <w:tr w:rsidR="002F63B6" w:rsidRPr="00537191" w14:paraId="1A8EB5F9" w14:textId="77777777" w:rsidTr="00EF621E">
        <w:trPr>
          <w:trHeight w:val="255"/>
        </w:trPr>
        <w:tc>
          <w:tcPr>
            <w:tcW w:w="2088" w:type="dxa"/>
            <w:tcBorders>
              <w:left w:val="single" w:sz="18" w:space="0" w:color="auto"/>
              <w:right w:val="single" w:sz="12" w:space="0" w:color="auto"/>
            </w:tcBorders>
            <w:noWrap/>
            <w:vAlign w:val="center"/>
          </w:tcPr>
          <w:p w14:paraId="285BD3E2"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2005-09</w:t>
            </w:r>
          </w:p>
        </w:tc>
        <w:tc>
          <w:tcPr>
            <w:tcW w:w="1706" w:type="dxa"/>
            <w:tcBorders>
              <w:left w:val="single" w:sz="12" w:space="0" w:color="auto"/>
            </w:tcBorders>
            <w:noWrap/>
            <w:vAlign w:val="center"/>
          </w:tcPr>
          <w:p w14:paraId="65DC5E5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107.352</w:t>
            </w:r>
          </w:p>
        </w:tc>
        <w:tc>
          <w:tcPr>
            <w:tcW w:w="1276" w:type="dxa"/>
            <w:tcBorders>
              <w:right w:val="single" w:sz="18" w:space="0" w:color="auto"/>
            </w:tcBorders>
            <w:noWrap/>
            <w:vAlign w:val="center"/>
          </w:tcPr>
          <w:p w14:paraId="521C164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2.929</w:t>
            </w:r>
          </w:p>
        </w:tc>
      </w:tr>
      <w:tr w:rsidR="002F63B6" w:rsidRPr="00537191" w14:paraId="320DFC6B" w14:textId="77777777" w:rsidTr="00EF621E">
        <w:trPr>
          <w:trHeight w:val="255"/>
        </w:trPr>
        <w:tc>
          <w:tcPr>
            <w:tcW w:w="2088" w:type="dxa"/>
            <w:tcBorders>
              <w:left w:val="single" w:sz="18" w:space="0" w:color="auto"/>
              <w:right w:val="single" w:sz="12" w:space="0" w:color="auto"/>
            </w:tcBorders>
            <w:noWrap/>
            <w:vAlign w:val="center"/>
          </w:tcPr>
          <w:p w14:paraId="6FE7DCAF"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2010-14</w:t>
            </w:r>
          </w:p>
        </w:tc>
        <w:tc>
          <w:tcPr>
            <w:tcW w:w="1706" w:type="dxa"/>
            <w:tcBorders>
              <w:left w:val="single" w:sz="12" w:space="0" w:color="auto"/>
            </w:tcBorders>
            <w:noWrap/>
            <w:vAlign w:val="center"/>
          </w:tcPr>
          <w:p w14:paraId="2D0A0D80"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112.477</w:t>
            </w:r>
          </w:p>
        </w:tc>
        <w:tc>
          <w:tcPr>
            <w:tcW w:w="1276" w:type="dxa"/>
            <w:tcBorders>
              <w:right w:val="single" w:sz="18" w:space="0" w:color="auto"/>
            </w:tcBorders>
            <w:noWrap/>
            <w:vAlign w:val="center"/>
          </w:tcPr>
          <w:p w14:paraId="75B4BEF0"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5.125</w:t>
            </w:r>
          </w:p>
        </w:tc>
      </w:tr>
      <w:tr w:rsidR="002F63B6" w:rsidRPr="00537191" w14:paraId="0DA119F3" w14:textId="77777777" w:rsidTr="00EF621E">
        <w:trPr>
          <w:trHeight w:val="255"/>
        </w:trPr>
        <w:tc>
          <w:tcPr>
            <w:tcW w:w="2088" w:type="dxa"/>
            <w:tcBorders>
              <w:left w:val="single" w:sz="18" w:space="0" w:color="auto"/>
              <w:right w:val="single" w:sz="12" w:space="0" w:color="auto"/>
            </w:tcBorders>
            <w:noWrap/>
            <w:vAlign w:val="center"/>
          </w:tcPr>
          <w:p w14:paraId="5D9958D4"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2015-19</w:t>
            </w:r>
          </w:p>
        </w:tc>
        <w:tc>
          <w:tcPr>
            <w:tcW w:w="1706" w:type="dxa"/>
            <w:tcBorders>
              <w:left w:val="single" w:sz="12" w:space="0" w:color="auto"/>
            </w:tcBorders>
            <w:noWrap/>
            <w:vAlign w:val="center"/>
          </w:tcPr>
          <w:p w14:paraId="5EF1B38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121.486</w:t>
            </w:r>
          </w:p>
        </w:tc>
        <w:tc>
          <w:tcPr>
            <w:tcW w:w="1276" w:type="dxa"/>
            <w:tcBorders>
              <w:right w:val="single" w:sz="18" w:space="0" w:color="auto"/>
            </w:tcBorders>
            <w:noWrap/>
            <w:vAlign w:val="center"/>
          </w:tcPr>
          <w:p w14:paraId="79820FB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9.009</w:t>
            </w:r>
          </w:p>
        </w:tc>
      </w:tr>
      <w:tr w:rsidR="002F63B6" w:rsidRPr="00537191" w14:paraId="43D4EE88" w14:textId="77777777" w:rsidTr="00EF621E">
        <w:trPr>
          <w:trHeight w:val="255"/>
        </w:trPr>
        <w:tc>
          <w:tcPr>
            <w:tcW w:w="2088" w:type="dxa"/>
            <w:tcBorders>
              <w:left w:val="single" w:sz="18" w:space="0" w:color="auto"/>
              <w:right w:val="single" w:sz="12" w:space="0" w:color="auto"/>
            </w:tcBorders>
            <w:noWrap/>
            <w:vAlign w:val="center"/>
          </w:tcPr>
          <w:p w14:paraId="786D4389"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2020-22</w:t>
            </w:r>
          </w:p>
        </w:tc>
        <w:tc>
          <w:tcPr>
            <w:tcW w:w="1706" w:type="dxa"/>
            <w:tcBorders>
              <w:left w:val="single" w:sz="12" w:space="0" w:color="auto"/>
            </w:tcBorders>
            <w:noWrap/>
            <w:vAlign w:val="center"/>
          </w:tcPr>
          <w:p w14:paraId="12C4CAD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138.056</w:t>
            </w:r>
          </w:p>
        </w:tc>
        <w:tc>
          <w:tcPr>
            <w:tcW w:w="1276" w:type="dxa"/>
            <w:tcBorders>
              <w:right w:val="single" w:sz="18" w:space="0" w:color="auto"/>
            </w:tcBorders>
            <w:noWrap/>
            <w:vAlign w:val="center"/>
          </w:tcPr>
          <w:p w14:paraId="22A58B12"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16.570</w:t>
            </w:r>
          </w:p>
        </w:tc>
      </w:tr>
      <w:tr w:rsidR="002F63B6" w:rsidRPr="00537191" w14:paraId="7592BAE6" w14:textId="77777777" w:rsidTr="00EF621E">
        <w:trPr>
          <w:trHeight w:val="270"/>
        </w:trPr>
        <w:tc>
          <w:tcPr>
            <w:tcW w:w="2088" w:type="dxa"/>
            <w:tcBorders>
              <w:left w:val="single" w:sz="18" w:space="0" w:color="auto"/>
              <w:bottom w:val="single" w:sz="18" w:space="0" w:color="auto"/>
              <w:right w:val="single" w:sz="12" w:space="0" w:color="auto"/>
            </w:tcBorders>
            <w:noWrap/>
            <w:vAlign w:val="center"/>
          </w:tcPr>
          <w:p w14:paraId="5ACFABB3" w14:textId="77777777" w:rsidR="002F63B6" w:rsidRPr="00537191" w:rsidRDefault="002F63B6" w:rsidP="00903A2F">
            <w:pPr>
              <w:spacing w:after="0" w:line="240" w:lineRule="auto"/>
              <w:jc w:val="both"/>
              <w:rPr>
                <w:rFonts w:cs="Calibri"/>
                <w:i/>
                <w:iCs/>
                <w:sz w:val="36"/>
                <w:szCs w:val="36"/>
                <w:lang w:val="en-US"/>
              </w:rPr>
            </w:pPr>
            <w:r w:rsidRPr="00537191">
              <w:rPr>
                <w:rFonts w:cs="Calibri"/>
                <w:i/>
                <w:iCs/>
                <w:sz w:val="36"/>
                <w:szCs w:val="36"/>
              </w:rPr>
              <w:t xml:space="preserve">2020-22 </w:t>
            </w:r>
            <w:r w:rsidRPr="00537191">
              <w:rPr>
                <w:rFonts w:cs="Calibri"/>
                <w:i/>
                <w:iCs/>
                <w:sz w:val="36"/>
                <w:szCs w:val="36"/>
              </w:rPr>
              <w:lastRenderedPageBreak/>
              <w:t xml:space="preserve">εκτός </w:t>
            </w:r>
            <w:r w:rsidRPr="00537191">
              <w:rPr>
                <w:rFonts w:cs="Calibri"/>
                <w:i/>
                <w:iCs/>
                <w:sz w:val="36"/>
                <w:szCs w:val="36"/>
                <w:lang w:val="en-US"/>
              </w:rPr>
              <w:t>covid</w:t>
            </w:r>
          </w:p>
        </w:tc>
        <w:tc>
          <w:tcPr>
            <w:tcW w:w="1706" w:type="dxa"/>
            <w:tcBorders>
              <w:left w:val="single" w:sz="12" w:space="0" w:color="auto"/>
              <w:bottom w:val="single" w:sz="18" w:space="0" w:color="auto"/>
            </w:tcBorders>
            <w:noWrap/>
            <w:vAlign w:val="center"/>
          </w:tcPr>
          <w:p w14:paraId="6BFAD920"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lastRenderedPageBreak/>
              <w:t>126.487</w:t>
            </w:r>
          </w:p>
        </w:tc>
        <w:tc>
          <w:tcPr>
            <w:tcW w:w="1276" w:type="dxa"/>
            <w:tcBorders>
              <w:bottom w:val="single" w:sz="18" w:space="0" w:color="auto"/>
              <w:right w:val="single" w:sz="18" w:space="0" w:color="auto"/>
            </w:tcBorders>
            <w:noWrap/>
            <w:vAlign w:val="center"/>
          </w:tcPr>
          <w:p w14:paraId="11689E6F" w14:textId="77777777" w:rsidR="002F63B6" w:rsidRPr="00537191" w:rsidRDefault="002F63B6" w:rsidP="00903A2F">
            <w:pPr>
              <w:spacing w:after="0" w:line="240" w:lineRule="auto"/>
              <w:jc w:val="both"/>
              <w:rPr>
                <w:rFonts w:cs="Calibri"/>
                <w:i/>
                <w:iCs/>
                <w:sz w:val="36"/>
                <w:szCs w:val="36"/>
              </w:rPr>
            </w:pPr>
            <w:r w:rsidRPr="00537191">
              <w:rPr>
                <w:rFonts w:cs="Calibri"/>
                <w:i/>
                <w:iCs/>
                <w:sz w:val="36"/>
                <w:szCs w:val="36"/>
              </w:rPr>
              <w:t>5.001</w:t>
            </w:r>
          </w:p>
        </w:tc>
      </w:tr>
    </w:tbl>
    <w:p w14:paraId="1918FAB3" w14:textId="77777777" w:rsidR="002F63B6" w:rsidRPr="00537191" w:rsidRDefault="002F63B6" w:rsidP="00903A2F">
      <w:pPr>
        <w:jc w:val="both"/>
        <w:rPr>
          <w:rFonts w:cs="Calibri"/>
          <w:i/>
          <w:sz w:val="36"/>
          <w:szCs w:val="36"/>
        </w:rPr>
      </w:pPr>
      <w:r w:rsidRPr="00537191">
        <w:rPr>
          <w:rFonts w:cs="Calibri"/>
          <w:sz w:val="36"/>
          <w:szCs w:val="36"/>
        </w:rPr>
        <w:br w:type="textWrapping" w:clear="all"/>
      </w:r>
      <w:r w:rsidRPr="00537191">
        <w:rPr>
          <w:rFonts w:cs="Calibri"/>
          <w:i/>
          <w:sz w:val="36"/>
          <w:szCs w:val="36"/>
        </w:rPr>
        <w:br/>
        <w:t>Πηγή: ΕΛΣΤΑΤ, ΕΟΔΥ</w:t>
      </w:r>
    </w:p>
    <w:p w14:paraId="6E56634A" w14:textId="77777777" w:rsidR="002F63B6" w:rsidRPr="00537191" w:rsidRDefault="002F63B6" w:rsidP="00903A2F">
      <w:pPr>
        <w:jc w:val="both"/>
        <w:rPr>
          <w:rFonts w:cs="Calibri"/>
          <w:color w:val="000000"/>
          <w:sz w:val="36"/>
          <w:szCs w:val="36"/>
        </w:rPr>
      </w:pPr>
    </w:p>
    <w:p w14:paraId="032C0BEB" w14:textId="77777777" w:rsidR="002F63B6" w:rsidRPr="00537191" w:rsidRDefault="002F63B6" w:rsidP="00903A2F">
      <w:pPr>
        <w:jc w:val="both"/>
        <w:rPr>
          <w:rFonts w:cs="Calibri"/>
          <w:color w:val="000000"/>
          <w:sz w:val="36"/>
          <w:szCs w:val="36"/>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947"/>
        <w:gridCol w:w="1589"/>
      </w:tblGrid>
      <w:tr w:rsidR="002F63B6" w:rsidRPr="00537191" w14:paraId="18895BAA" w14:textId="77777777" w:rsidTr="00EF621E">
        <w:trPr>
          <w:trHeight w:val="255"/>
        </w:trPr>
        <w:tc>
          <w:tcPr>
            <w:tcW w:w="1101" w:type="dxa"/>
            <w:tcBorders>
              <w:top w:val="single" w:sz="18" w:space="0" w:color="auto"/>
              <w:left w:val="single" w:sz="18" w:space="0" w:color="auto"/>
              <w:bottom w:val="single" w:sz="12" w:space="0" w:color="auto"/>
              <w:right w:val="single" w:sz="12" w:space="0" w:color="auto"/>
            </w:tcBorders>
            <w:noWrap/>
            <w:vAlign w:val="center"/>
          </w:tcPr>
          <w:p w14:paraId="4BD1D790"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Έτος</w:t>
            </w:r>
          </w:p>
        </w:tc>
        <w:tc>
          <w:tcPr>
            <w:tcW w:w="1842" w:type="dxa"/>
            <w:tcBorders>
              <w:top w:val="single" w:sz="18" w:space="0" w:color="auto"/>
              <w:left w:val="single" w:sz="12" w:space="0" w:color="auto"/>
              <w:bottom w:val="single" w:sz="12" w:space="0" w:color="auto"/>
            </w:tcBorders>
            <w:noWrap/>
            <w:vAlign w:val="center"/>
          </w:tcPr>
          <w:p w14:paraId="4C479B10"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Πληθυσμός</w:t>
            </w:r>
          </w:p>
        </w:tc>
        <w:tc>
          <w:tcPr>
            <w:tcW w:w="1418" w:type="dxa"/>
            <w:tcBorders>
              <w:top w:val="single" w:sz="18" w:space="0" w:color="auto"/>
              <w:bottom w:val="single" w:sz="12" w:space="0" w:color="auto"/>
              <w:right w:val="single" w:sz="18" w:space="0" w:color="auto"/>
            </w:tcBorders>
            <w:noWrap/>
            <w:vAlign w:val="center"/>
          </w:tcPr>
          <w:p w14:paraId="721486EE" w14:textId="77777777" w:rsidR="002F63B6" w:rsidRPr="00537191" w:rsidRDefault="002F63B6" w:rsidP="00903A2F">
            <w:pPr>
              <w:spacing w:after="0" w:line="240" w:lineRule="auto"/>
              <w:jc w:val="both"/>
              <w:rPr>
                <w:rFonts w:cs="Calibri"/>
                <w:b/>
                <w:bCs/>
                <w:sz w:val="36"/>
                <w:szCs w:val="36"/>
              </w:rPr>
            </w:pPr>
            <w:r w:rsidRPr="00537191">
              <w:rPr>
                <w:rFonts w:cs="Calibri"/>
                <w:b/>
                <w:bCs/>
                <w:sz w:val="36"/>
                <w:szCs w:val="36"/>
              </w:rPr>
              <w:t>Διαφορά</w:t>
            </w:r>
          </w:p>
        </w:tc>
      </w:tr>
      <w:tr w:rsidR="002F63B6" w:rsidRPr="00537191" w14:paraId="51D00E73" w14:textId="77777777" w:rsidTr="00EF621E">
        <w:trPr>
          <w:trHeight w:val="255"/>
        </w:trPr>
        <w:tc>
          <w:tcPr>
            <w:tcW w:w="1101" w:type="dxa"/>
            <w:tcBorders>
              <w:top w:val="single" w:sz="12" w:space="0" w:color="auto"/>
              <w:left w:val="single" w:sz="18" w:space="0" w:color="auto"/>
              <w:right w:val="single" w:sz="12" w:space="0" w:color="auto"/>
            </w:tcBorders>
            <w:noWrap/>
            <w:vAlign w:val="center"/>
          </w:tcPr>
          <w:p w14:paraId="688E3E54"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1951</w:t>
            </w:r>
          </w:p>
        </w:tc>
        <w:tc>
          <w:tcPr>
            <w:tcW w:w="1842" w:type="dxa"/>
            <w:tcBorders>
              <w:top w:val="single" w:sz="12" w:space="0" w:color="auto"/>
              <w:left w:val="single" w:sz="12" w:space="0" w:color="auto"/>
            </w:tcBorders>
            <w:noWrap/>
            <w:vAlign w:val="center"/>
          </w:tcPr>
          <w:p w14:paraId="33FA17D9" w14:textId="77777777" w:rsidR="002F63B6" w:rsidRPr="00537191" w:rsidRDefault="002F63B6" w:rsidP="00903A2F">
            <w:pPr>
              <w:spacing w:after="0" w:line="240" w:lineRule="auto"/>
              <w:jc w:val="both"/>
              <w:rPr>
                <w:rFonts w:cs="Calibri"/>
                <w:sz w:val="36"/>
                <w:szCs w:val="36"/>
              </w:rPr>
            </w:pPr>
            <w:r w:rsidRPr="00537191">
              <w:rPr>
                <w:rFonts w:cs="Calibri"/>
                <w:sz w:val="36"/>
                <w:szCs w:val="36"/>
              </w:rPr>
              <w:t>7.632.801</w:t>
            </w:r>
          </w:p>
        </w:tc>
        <w:tc>
          <w:tcPr>
            <w:tcW w:w="1418" w:type="dxa"/>
            <w:tcBorders>
              <w:top w:val="single" w:sz="12" w:space="0" w:color="auto"/>
              <w:right w:val="single" w:sz="18" w:space="0" w:color="auto"/>
            </w:tcBorders>
            <w:noWrap/>
            <w:vAlign w:val="center"/>
          </w:tcPr>
          <w:p w14:paraId="1C71B8ED" w14:textId="77777777" w:rsidR="002F63B6" w:rsidRPr="00537191" w:rsidRDefault="002F63B6" w:rsidP="00903A2F">
            <w:pPr>
              <w:spacing w:after="0" w:line="240" w:lineRule="auto"/>
              <w:jc w:val="both"/>
              <w:rPr>
                <w:rFonts w:cs="Calibri"/>
                <w:sz w:val="36"/>
                <w:szCs w:val="36"/>
              </w:rPr>
            </w:pPr>
          </w:p>
        </w:tc>
      </w:tr>
      <w:tr w:rsidR="002F63B6" w:rsidRPr="00537191" w14:paraId="41E88C2D" w14:textId="77777777" w:rsidTr="00EF621E">
        <w:trPr>
          <w:trHeight w:val="255"/>
        </w:trPr>
        <w:tc>
          <w:tcPr>
            <w:tcW w:w="1101" w:type="dxa"/>
            <w:tcBorders>
              <w:left w:val="single" w:sz="18" w:space="0" w:color="auto"/>
              <w:right w:val="single" w:sz="12" w:space="0" w:color="auto"/>
            </w:tcBorders>
            <w:noWrap/>
            <w:vAlign w:val="center"/>
          </w:tcPr>
          <w:p w14:paraId="35C72E04"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1961</w:t>
            </w:r>
          </w:p>
        </w:tc>
        <w:tc>
          <w:tcPr>
            <w:tcW w:w="1842" w:type="dxa"/>
            <w:tcBorders>
              <w:left w:val="single" w:sz="12" w:space="0" w:color="auto"/>
            </w:tcBorders>
            <w:noWrap/>
            <w:vAlign w:val="center"/>
          </w:tcPr>
          <w:p w14:paraId="353D19EF" w14:textId="77777777" w:rsidR="002F63B6" w:rsidRPr="00537191" w:rsidRDefault="002F63B6" w:rsidP="00903A2F">
            <w:pPr>
              <w:spacing w:after="0" w:line="240" w:lineRule="auto"/>
              <w:jc w:val="both"/>
              <w:rPr>
                <w:rFonts w:cs="Calibri"/>
                <w:sz w:val="36"/>
                <w:szCs w:val="36"/>
              </w:rPr>
            </w:pPr>
            <w:r w:rsidRPr="00537191">
              <w:rPr>
                <w:rFonts w:cs="Calibri"/>
                <w:sz w:val="36"/>
                <w:szCs w:val="36"/>
              </w:rPr>
              <w:t>8.388.553</w:t>
            </w:r>
          </w:p>
        </w:tc>
        <w:tc>
          <w:tcPr>
            <w:tcW w:w="1418" w:type="dxa"/>
            <w:tcBorders>
              <w:right w:val="single" w:sz="18" w:space="0" w:color="auto"/>
            </w:tcBorders>
            <w:noWrap/>
            <w:vAlign w:val="center"/>
          </w:tcPr>
          <w:p w14:paraId="0418AE6F" w14:textId="77777777" w:rsidR="002F63B6" w:rsidRPr="00537191" w:rsidRDefault="002F63B6" w:rsidP="00903A2F">
            <w:pPr>
              <w:spacing w:after="0" w:line="240" w:lineRule="auto"/>
              <w:jc w:val="both"/>
              <w:rPr>
                <w:rFonts w:cs="Calibri"/>
                <w:sz w:val="36"/>
                <w:szCs w:val="36"/>
              </w:rPr>
            </w:pPr>
            <w:r w:rsidRPr="00537191">
              <w:rPr>
                <w:rFonts w:cs="Calibri"/>
                <w:sz w:val="36"/>
                <w:szCs w:val="36"/>
              </w:rPr>
              <w:t>755.752</w:t>
            </w:r>
          </w:p>
        </w:tc>
      </w:tr>
      <w:tr w:rsidR="002F63B6" w:rsidRPr="00537191" w14:paraId="38B220E8" w14:textId="77777777" w:rsidTr="00EF621E">
        <w:trPr>
          <w:trHeight w:val="255"/>
        </w:trPr>
        <w:tc>
          <w:tcPr>
            <w:tcW w:w="1101" w:type="dxa"/>
            <w:tcBorders>
              <w:left w:val="single" w:sz="18" w:space="0" w:color="auto"/>
              <w:right w:val="single" w:sz="12" w:space="0" w:color="auto"/>
            </w:tcBorders>
            <w:noWrap/>
            <w:vAlign w:val="center"/>
          </w:tcPr>
          <w:p w14:paraId="11566880"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1971</w:t>
            </w:r>
          </w:p>
        </w:tc>
        <w:tc>
          <w:tcPr>
            <w:tcW w:w="1842" w:type="dxa"/>
            <w:tcBorders>
              <w:left w:val="single" w:sz="12" w:space="0" w:color="auto"/>
            </w:tcBorders>
            <w:noWrap/>
            <w:vAlign w:val="center"/>
          </w:tcPr>
          <w:p w14:paraId="3AF3BB49" w14:textId="77777777" w:rsidR="002F63B6" w:rsidRPr="00537191" w:rsidRDefault="002F63B6" w:rsidP="00903A2F">
            <w:pPr>
              <w:spacing w:after="0" w:line="240" w:lineRule="auto"/>
              <w:jc w:val="both"/>
              <w:rPr>
                <w:rFonts w:cs="Calibri"/>
                <w:sz w:val="36"/>
                <w:szCs w:val="36"/>
              </w:rPr>
            </w:pPr>
            <w:r w:rsidRPr="00537191">
              <w:rPr>
                <w:rFonts w:cs="Calibri"/>
                <w:sz w:val="36"/>
                <w:szCs w:val="36"/>
              </w:rPr>
              <w:t>8.768.372</w:t>
            </w:r>
          </w:p>
        </w:tc>
        <w:tc>
          <w:tcPr>
            <w:tcW w:w="1418" w:type="dxa"/>
            <w:tcBorders>
              <w:right w:val="single" w:sz="18" w:space="0" w:color="auto"/>
            </w:tcBorders>
            <w:noWrap/>
            <w:vAlign w:val="center"/>
          </w:tcPr>
          <w:p w14:paraId="3364AF9E"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379.819</w:t>
            </w:r>
          </w:p>
        </w:tc>
      </w:tr>
      <w:tr w:rsidR="002F63B6" w:rsidRPr="00537191" w14:paraId="7E552569" w14:textId="77777777" w:rsidTr="00EF621E">
        <w:trPr>
          <w:trHeight w:val="270"/>
        </w:trPr>
        <w:tc>
          <w:tcPr>
            <w:tcW w:w="1101" w:type="dxa"/>
            <w:tcBorders>
              <w:left w:val="single" w:sz="18" w:space="0" w:color="auto"/>
              <w:right w:val="single" w:sz="12" w:space="0" w:color="auto"/>
            </w:tcBorders>
            <w:noWrap/>
            <w:vAlign w:val="center"/>
          </w:tcPr>
          <w:p w14:paraId="24A53C53"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1981</w:t>
            </w:r>
          </w:p>
        </w:tc>
        <w:tc>
          <w:tcPr>
            <w:tcW w:w="1842" w:type="dxa"/>
            <w:tcBorders>
              <w:left w:val="single" w:sz="12" w:space="0" w:color="auto"/>
            </w:tcBorders>
            <w:noWrap/>
            <w:vAlign w:val="center"/>
          </w:tcPr>
          <w:p w14:paraId="72080009" w14:textId="77777777" w:rsidR="002F63B6" w:rsidRPr="00537191" w:rsidRDefault="002F63B6" w:rsidP="00903A2F">
            <w:pPr>
              <w:spacing w:after="0" w:line="240" w:lineRule="auto"/>
              <w:jc w:val="both"/>
              <w:rPr>
                <w:rFonts w:cs="Calibri"/>
                <w:sz w:val="36"/>
                <w:szCs w:val="36"/>
              </w:rPr>
            </w:pPr>
            <w:r w:rsidRPr="00537191">
              <w:rPr>
                <w:rFonts w:cs="Calibri"/>
                <w:sz w:val="36"/>
                <w:szCs w:val="36"/>
              </w:rPr>
              <w:t>9.739.441</w:t>
            </w:r>
          </w:p>
        </w:tc>
        <w:tc>
          <w:tcPr>
            <w:tcW w:w="1418" w:type="dxa"/>
            <w:tcBorders>
              <w:right w:val="single" w:sz="18" w:space="0" w:color="auto"/>
            </w:tcBorders>
            <w:noWrap/>
            <w:vAlign w:val="center"/>
          </w:tcPr>
          <w:p w14:paraId="37F648D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971.069</w:t>
            </w:r>
          </w:p>
        </w:tc>
      </w:tr>
      <w:tr w:rsidR="002F63B6" w:rsidRPr="00537191" w14:paraId="5D527829" w14:textId="77777777" w:rsidTr="00EF621E">
        <w:trPr>
          <w:trHeight w:val="255"/>
        </w:trPr>
        <w:tc>
          <w:tcPr>
            <w:tcW w:w="1101" w:type="dxa"/>
            <w:tcBorders>
              <w:left w:val="single" w:sz="18" w:space="0" w:color="auto"/>
              <w:right w:val="single" w:sz="12" w:space="0" w:color="auto"/>
            </w:tcBorders>
            <w:noWrap/>
            <w:vAlign w:val="center"/>
          </w:tcPr>
          <w:p w14:paraId="23892E06"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1991</w:t>
            </w:r>
          </w:p>
        </w:tc>
        <w:tc>
          <w:tcPr>
            <w:tcW w:w="1842" w:type="dxa"/>
            <w:tcBorders>
              <w:left w:val="single" w:sz="12" w:space="0" w:color="auto"/>
            </w:tcBorders>
            <w:noWrap/>
            <w:vAlign w:val="center"/>
          </w:tcPr>
          <w:p w14:paraId="60B75FD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10.259.900</w:t>
            </w:r>
          </w:p>
        </w:tc>
        <w:tc>
          <w:tcPr>
            <w:tcW w:w="1418" w:type="dxa"/>
            <w:tcBorders>
              <w:right w:val="single" w:sz="18" w:space="0" w:color="auto"/>
            </w:tcBorders>
            <w:noWrap/>
            <w:vAlign w:val="center"/>
          </w:tcPr>
          <w:p w14:paraId="75E495C4" w14:textId="77777777" w:rsidR="002F63B6" w:rsidRPr="00537191" w:rsidRDefault="002F63B6" w:rsidP="00903A2F">
            <w:pPr>
              <w:spacing w:after="0" w:line="240" w:lineRule="auto"/>
              <w:jc w:val="both"/>
              <w:rPr>
                <w:rFonts w:cs="Calibri"/>
                <w:sz w:val="36"/>
                <w:szCs w:val="36"/>
              </w:rPr>
            </w:pPr>
            <w:r w:rsidRPr="00537191">
              <w:rPr>
                <w:rFonts w:cs="Calibri"/>
                <w:sz w:val="36"/>
                <w:szCs w:val="36"/>
              </w:rPr>
              <w:t>520.459</w:t>
            </w:r>
          </w:p>
        </w:tc>
      </w:tr>
      <w:tr w:rsidR="002F63B6" w:rsidRPr="00537191" w14:paraId="2D88C14B" w14:textId="77777777" w:rsidTr="00EF621E">
        <w:trPr>
          <w:trHeight w:val="255"/>
        </w:trPr>
        <w:tc>
          <w:tcPr>
            <w:tcW w:w="1101" w:type="dxa"/>
            <w:tcBorders>
              <w:left w:val="single" w:sz="18" w:space="0" w:color="auto"/>
              <w:right w:val="single" w:sz="12" w:space="0" w:color="auto"/>
            </w:tcBorders>
            <w:noWrap/>
            <w:vAlign w:val="center"/>
          </w:tcPr>
          <w:p w14:paraId="3FD8B5C1"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2001</w:t>
            </w:r>
          </w:p>
        </w:tc>
        <w:tc>
          <w:tcPr>
            <w:tcW w:w="1842" w:type="dxa"/>
            <w:tcBorders>
              <w:left w:val="single" w:sz="12" w:space="0" w:color="auto"/>
            </w:tcBorders>
            <w:noWrap/>
            <w:vAlign w:val="center"/>
          </w:tcPr>
          <w:p w14:paraId="77C1866D"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10.964.020</w:t>
            </w:r>
          </w:p>
        </w:tc>
        <w:tc>
          <w:tcPr>
            <w:tcW w:w="1418" w:type="dxa"/>
            <w:tcBorders>
              <w:right w:val="single" w:sz="18" w:space="0" w:color="auto"/>
            </w:tcBorders>
            <w:noWrap/>
            <w:vAlign w:val="center"/>
          </w:tcPr>
          <w:p w14:paraId="564EF137" w14:textId="77777777" w:rsidR="002F63B6" w:rsidRPr="00537191" w:rsidRDefault="002F63B6" w:rsidP="00903A2F">
            <w:pPr>
              <w:spacing w:after="0" w:line="240" w:lineRule="auto"/>
              <w:jc w:val="both"/>
              <w:rPr>
                <w:rFonts w:cs="Calibri"/>
                <w:sz w:val="36"/>
                <w:szCs w:val="36"/>
              </w:rPr>
            </w:pPr>
            <w:r w:rsidRPr="00537191">
              <w:rPr>
                <w:rFonts w:cs="Calibri"/>
                <w:sz w:val="36"/>
                <w:szCs w:val="36"/>
              </w:rPr>
              <w:t>704.120</w:t>
            </w:r>
          </w:p>
        </w:tc>
      </w:tr>
      <w:tr w:rsidR="002F63B6" w:rsidRPr="00537191" w14:paraId="5135EC3B" w14:textId="77777777" w:rsidTr="00EF621E">
        <w:trPr>
          <w:trHeight w:val="255"/>
        </w:trPr>
        <w:tc>
          <w:tcPr>
            <w:tcW w:w="1101" w:type="dxa"/>
            <w:tcBorders>
              <w:left w:val="single" w:sz="18" w:space="0" w:color="auto"/>
              <w:right w:val="single" w:sz="12" w:space="0" w:color="auto"/>
            </w:tcBorders>
            <w:noWrap/>
            <w:vAlign w:val="center"/>
          </w:tcPr>
          <w:p w14:paraId="726C2CD0"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2011</w:t>
            </w:r>
          </w:p>
        </w:tc>
        <w:tc>
          <w:tcPr>
            <w:tcW w:w="1842" w:type="dxa"/>
            <w:tcBorders>
              <w:left w:val="single" w:sz="12" w:space="0" w:color="auto"/>
            </w:tcBorders>
            <w:noWrap/>
            <w:vAlign w:val="center"/>
          </w:tcPr>
          <w:p w14:paraId="3B002E3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10.816.286</w:t>
            </w:r>
          </w:p>
        </w:tc>
        <w:tc>
          <w:tcPr>
            <w:tcW w:w="1418" w:type="dxa"/>
            <w:tcBorders>
              <w:right w:val="single" w:sz="18" w:space="0" w:color="auto"/>
            </w:tcBorders>
            <w:noWrap/>
            <w:vAlign w:val="center"/>
          </w:tcPr>
          <w:p w14:paraId="10F990D5"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-147.734</w:t>
            </w:r>
          </w:p>
        </w:tc>
      </w:tr>
      <w:tr w:rsidR="002F63B6" w:rsidRPr="00537191" w14:paraId="0958FA94" w14:textId="77777777" w:rsidTr="00EF621E">
        <w:trPr>
          <w:trHeight w:val="270"/>
        </w:trPr>
        <w:tc>
          <w:tcPr>
            <w:tcW w:w="1101" w:type="dxa"/>
            <w:tcBorders>
              <w:left w:val="single" w:sz="18" w:space="0" w:color="auto"/>
              <w:bottom w:val="single" w:sz="18" w:space="0" w:color="auto"/>
              <w:right w:val="single" w:sz="12" w:space="0" w:color="auto"/>
            </w:tcBorders>
            <w:noWrap/>
            <w:vAlign w:val="center"/>
          </w:tcPr>
          <w:p w14:paraId="1CB47DC2" w14:textId="77777777" w:rsidR="002F63B6" w:rsidRPr="00537191" w:rsidRDefault="002F63B6" w:rsidP="00903A2F">
            <w:pPr>
              <w:spacing w:after="0" w:line="240" w:lineRule="auto"/>
              <w:jc w:val="both"/>
              <w:rPr>
                <w:rFonts w:cs="Calibri"/>
                <w:b/>
                <w:sz w:val="36"/>
                <w:szCs w:val="36"/>
              </w:rPr>
            </w:pPr>
            <w:r w:rsidRPr="00537191">
              <w:rPr>
                <w:rFonts w:cs="Calibri"/>
                <w:b/>
                <w:sz w:val="36"/>
                <w:szCs w:val="36"/>
              </w:rPr>
              <w:t>2021</w:t>
            </w:r>
          </w:p>
        </w:tc>
        <w:tc>
          <w:tcPr>
            <w:tcW w:w="1842" w:type="dxa"/>
            <w:tcBorders>
              <w:left w:val="single" w:sz="12" w:space="0" w:color="auto"/>
              <w:bottom w:val="single" w:sz="18" w:space="0" w:color="auto"/>
            </w:tcBorders>
            <w:noWrap/>
            <w:vAlign w:val="center"/>
          </w:tcPr>
          <w:p w14:paraId="53494BA6" w14:textId="77777777" w:rsidR="002F63B6" w:rsidRPr="00537191" w:rsidRDefault="002F63B6" w:rsidP="00903A2F">
            <w:pPr>
              <w:spacing w:after="0" w:line="240" w:lineRule="auto"/>
              <w:jc w:val="both"/>
              <w:rPr>
                <w:rFonts w:cs="Calibri"/>
                <w:sz w:val="36"/>
                <w:szCs w:val="36"/>
              </w:rPr>
            </w:pPr>
            <w:r w:rsidRPr="00537191">
              <w:rPr>
                <w:rFonts w:cs="Calibri"/>
                <w:sz w:val="36"/>
                <w:szCs w:val="36"/>
              </w:rPr>
              <w:t>10.482.487</w:t>
            </w:r>
          </w:p>
        </w:tc>
        <w:tc>
          <w:tcPr>
            <w:tcW w:w="1418" w:type="dxa"/>
            <w:tcBorders>
              <w:bottom w:val="single" w:sz="18" w:space="0" w:color="auto"/>
              <w:right w:val="single" w:sz="18" w:space="0" w:color="auto"/>
            </w:tcBorders>
            <w:noWrap/>
            <w:vAlign w:val="center"/>
          </w:tcPr>
          <w:p w14:paraId="3DE806C8" w14:textId="77777777" w:rsidR="002F63B6" w:rsidRPr="00537191" w:rsidRDefault="002F63B6" w:rsidP="00903A2F">
            <w:pPr>
              <w:spacing w:after="0" w:line="240" w:lineRule="auto"/>
              <w:jc w:val="both"/>
              <w:rPr>
                <w:rFonts w:cs="Calibri"/>
                <w:sz w:val="36"/>
                <w:szCs w:val="36"/>
              </w:rPr>
            </w:pPr>
            <w:r w:rsidRPr="00537191">
              <w:rPr>
                <w:rFonts w:cs="Calibri"/>
                <w:sz w:val="36"/>
                <w:szCs w:val="36"/>
              </w:rPr>
              <w:t>-333.799</w:t>
            </w:r>
          </w:p>
        </w:tc>
      </w:tr>
    </w:tbl>
    <w:p w14:paraId="3591C407" w14:textId="77777777" w:rsidR="002F63B6" w:rsidRPr="00537191" w:rsidRDefault="002F63B6" w:rsidP="00903A2F">
      <w:pPr>
        <w:jc w:val="both"/>
        <w:rPr>
          <w:rFonts w:cs="Calibri"/>
          <w:i/>
          <w:sz w:val="36"/>
          <w:szCs w:val="36"/>
        </w:rPr>
      </w:pPr>
      <w:r w:rsidRPr="00537191">
        <w:rPr>
          <w:rFonts w:cs="Calibri"/>
          <w:i/>
          <w:sz w:val="36"/>
          <w:szCs w:val="36"/>
        </w:rPr>
        <w:br/>
        <w:t>Πηγή: ΕΛΣΤΑΤ</w:t>
      </w:r>
    </w:p>
    <w:p w14:paraId="341A063A" w14:textId="77777777" w:rsidR="002F63B6" w:rsidRPr="00537191" w:rsidRDefault="002F63B6" w:rsidP="00903A2F">
      <w:pPr>
        <w:jc w:val="both"/>
        <w:rPr>
          <w:rFonts w:cs="Calibri"/>
          <w:b/>
          <w:color w:val="000000"/>
          <w:sz w:val="36"/>
          <w:szCs w:val="36"/>
          <w:u w:val="single"/>
        </w:rPr>
      </w:pPr>
    </w:p>
    <w:p w14:paraId="656DB60F" w14:textId="77777777" w:rsidR="002F63B6" w:rsidRPr="00537191" w:rsidRDefault="002F63B6" w:rsidP="00903A2F">
      <w:pPr>
        <w:jc w:val="both"/>
        <w:rPr>
          <w:rFonts w:cs="Calibri"/>
          <w:b/>
          <w:color w:val="000000"/>
          <w:sz w:val="36"/>
          <w:szCs w:val="36"/>
          <w:u w:val="single"/>
        </w:rPr>
      </w:pPr>
    </w:p>
    <w:p w14:paraId="3CEE593B" w14:textId="77777777" w:rsidR="002F63B6" w:rsidRPr="00537191" w:rsidRDefault="002F63B6" w:rsidP="00903A2F">
      <w:pPr>
        <w:jc w:val="both"/>
        <w:rPr>
          <w:rFonts w:cs="Calibri"/>
          <w:b/>
          <w:color w:val="000000"/>
          <w:sz w:val="36"/>
          <w:szCs w:val="36"/>
          <w:u w:val="single"/>
        </w:rPr>
      </w:pPr>
      <w:r w:rsidRPr="00537191">
        <w:rPr>
          <w:rFonts w:cs="Calibri"/>
          <w:b/>
          <w:color w:val="000000"/>
          <w:sz w:val="36"/>
          <w:szCs w:val="36"/>
          <w:u w:val="single"/>
        </w:rPr>
        <w:t>Μέτρα αντιμετώπισης και πολιτικές υγείας</w:t>
      </w:r>
    </w:p>
    <w:p w14:paraId="1EE208F9"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Σύμφωνα με τον ΠΟΥ οι δύο πρωταρχικές αιτίες θανάτου παγκοσμίως είναι τα καρδιαγγειακά νοσήματα και ο καρκίνος, οι οποίες σημειώνουν συνεχή αύξηση τις τελευταίες δεκαετίες. Αυτές οι δύο ασθένειες κατέχουν και στην χώρα μας τις δύο πρώτες θέσεις στις αιτίες θανάτου, σύμφωνα με τα τελευταία στοιχεία που </w:t>
      </w:r>
      <w:r w:rsidRPr="00537191">
        <w:rPr>
          <w:rFonts w:cs="Calibri"/>
          <w:color w:val="000000"/>
          <w:sz w:val="36"/>
          <w:szCs w:val="36"/>
        </w:rPr>
        <w:lastRenderedPageBreak/>
        <w:t xml:space="preserve">δημοσίευσε η ΕΛΣΤΑΤ και αφορούν το έτος 2020. Μάλιστα αν σε αυτές τις δύο που κατέχουν το 23,9% και 23,5% αντίστοιχα, προσθέσουμε και τους θανάτους από εγκεφαλικά επεισόδια (9,9%), εκ των οποίων μερικά έχουν ως αφετηρία την καρδιά, τότε αθροιστικά αυτές οι αιτίες αφορούν τους περισσότερους από τους μισούς θανάτους στην Ελλάδα. </w:t>
      </w:r>
    </w:p>
    <w:p w14:paraId="607EF872" w14:textId="44E0B54C" w:rsidR="002F63B6" w:rsidRPr="00537191" w:rsidRDefault="00627D03" w:rsidP="00903A2F">
      <w:pPr>
        <w:jc w:val="both"/>
        <w:rPr>
          <w:rFonts w:cs="Calibri"/>
          <w:color w:val="000000"/>
          <w:sz w:val="36"/>
          <w:szCs w:val="36"/>
        </w:rPr>
      </w:pPr>
      <w:r w:rsidRPr="00537191">
        <w:rPr>
          <w:rFonts w:cs="Calibri"/>
          <w:noProof/>
          <w:color w:val="000000"/>
          <w:sz w:val="36"/>
          <w:szCs w:val="36"/>
        </w:rPr>
        <w:drawing>
          <wp:inline distT="0" distB="0" distL="0" distR="0" wp14:anchorId="05EF6C50" wp14:editId="56423464">
            <wp:extent cx="5291455" cy="2917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1455" cy="2917825"/>
                    </a:xfrm>
                    <a:prstGeom prst="rect">
                      <a:avLst/>
                    </a:prstGeom>
                    <a:noFill/>
                    <a:ln>
                      <a:noFill/>
                    </a:ln>
                  </pic:spPr>
                </pic:pic>
              </a:graphicData>
            </a:graphic>
          </wp:inline>
        </w:drawing>
      </w:r>
    </w:p>
    <w:p w14:paraId="020E0BE7" w14:textId="77777777" w:rsidR="002F63B6" w:rsidRPr="00537191" w:rsidRDefault="002F63B6" w:rsidP="00903A2F">
      <w:pPr>
        <w:jc w:val="both"/>
        <w:rPr>
          <w:rFonts w:cs="Calibri"/>
          <w:i/>
          <w:color w:val="000000"/>
          <w:sz w:val="36"/>
          <w:szCs w:val="36"/>
        </w:rPr>
      </w:pPr>
      <w:r w:rsidRPr="00537191">
        <w:rPr>
          <w:rFonts w:cs="Calibri"/>
          <w:i/>
          <w:color w:val="000000"/>
          <w:sz w:val="36"/>
          <w:szCs w:val="36"/>
        </w:rPr>
        <w:t>Πηγή: ΕΛΣΤΑΤ</w:t>
      </w:r>
    </w:p>
    <w:p w14:paraId="6FEB5244" w14:textId="77777777" w:rsidR="002F63B6" w:rsidRPr="00537191" w:rsidRDefault="002F63B6" w:rsidP="00903A2F">
      <w:pPr>
        <w:jc w:val="both"/>
        <w:rPr>
          <w:rFonts w:cs="Calibri"/>
          <w:color w:val="000000"/>
          <w:sz w:val="36"/>
          <w:szCs w:val="36"/>
        </w:rPr>
      </w:pPr>
    </w:p>
    <w:p w14:paraId="31BFE122"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Σε αυτή την υφιστάμενη κατάσταση προέκυψε η πανδημία, η οποία όπως είπαμε αφήνει στις κοινωνίες ως απότοκα το σύνδρομο </w:t>
      </w:r>
      <w:r w:rsidRPr="00537191">
        <w:rPr>
          <w:rFonts w:cs="Calibri"/>
          <w:color w:val="000000"/>
          <w:sz w:val="36"/>
          <w:szCs w:val="36"/>
          <w:lang w:val="en-US"/>
        </w:rPr>
        <w:t>long</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xml:space="preserve"> και την </w:t>
      </w:r>
      <w:r w:rsidRPr="00537191">
        <w:rPr>
          <w:rFonts w:cs="Calibri"/>
          <w:color w:val="000000"/>
          <w:sz w:val="36"/>
          <w:szCs w:val="36"/>
          <w:lang w:val="en-US"/>
        </w:rPr>
        <w:t>non</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xml:space="preserve"> υπερβάλλουσα θνησιμότητα, η οποία όπως φαίνεται από τους αριθμούς μπορεί να μην έχει πλήξει ακόμα την χώρα μας, όμως αυτό δεν είναι κάτι που πρέπει να μας καθησυχάζει, διότι, αφού αυτό το φαινόμενο έλαβε </w:t>
      </w:r>
      <w:r w:rsidRPr="00537191">
        <w:rPr>
          <w:rFonts w:cs="Calibri"/>
          <w:color w:val="000000"/>
          <w:sz w:val="36"/>
          <w:szCs w:val="36"/>
        </w:rPr>
        <w:lastRenderedPageBreak/>
        <w:t>χώρα σε κράτη με πιο ανεπτυγμένα συστήματα υγείας από το ελληνικό, είναι πάρα πολύ πιθανό αυτή η κατάσταση να επωάζεται και να κάνει την εμφάνισή της και στην Ελλάδα. Ήδη στο 3</w:t>
      </w:r>
      <w:r w:rsidRPr="00537191">
        <w:rPr>
          <w:rFonts w:cs="Calibri"/>
          <w:color w:val="000000"/>
          <w:sz w:val="36"/>
          <w:szCs w:val="36"/>
          <w:vertAlign w:val="superscript"/>
        </w:rPr>
        <w:t>ο</w:t>
      </w:r>
      <w:r w:rsidRPr="00537191">
        <w:rPr>
          <w:rFonts w:cs="Calibri"/>
          <w:color w:val="000000"/>
          <w:sz w:val="36"/>
          <w:szCs w:val="36"/>
        </w:rPr>
        <w:t xml:space="preserve"> Ετήσιο Συνέδριο του </w:t>
      </w:r>
      <w:r w:rsidRPr="00537191">
        <w:rPr>
          <w:rFonts w:cs="Calibri"/>
          <w:color w:val="000000"/>
          <w:sz w:val="36"/>
          <w:szCs w:val="36"/>
          <w:lang w:val="en-US"/>
        </w:rPr>
        <w:t>Economist</w:t>
      </w:r>
      <w:r w:rsidRPr="00537191">
        <w:rPr>
          <w:rFonts w:cs="Calibri"/>
          <w:color w:val="000000"/>
          <w:sz w:val="36"/>
          <w:szCs w:val="36"/>
        </w:rPr>
        <w:t xml:space="preserve"> εκφράστηκε η ανησυχία για την αύξηση των περιστατικών καρκίνου στην Ελλάδα, λόγω της μη πραγματοποίησης των απαιτούμενων εξετάσεων κατά την περίοδο της πανδημίας. Από την άλλη, η Ελληνική Καρδιολογική Εταιρεία από το 2019 έχει τονίσει πως κάθε χρόνο στο Λεκανοπέδιο Αττικής πεθαίνουν ξαφνικά 2.500 άνθρωποι, και σε πανελλαδικό επίπεδο συμβαίνουν 10-15 νεανικοί θάνατοι τον μήνα, εκ των οποίων το 65% οφείλεται σε καρδιαγγειακές παθήσεις, κυρίως λόγω κληρονομικότητας, οι οποίες μέχρι την στιγμή που συμβαίνει το περιστατικό είναι άγνωστες. Οι αριθμοί αυτοί εκ των πραγμάτων μόνο μικροί δεν είναι, αφού μιλάμε για ανθρώπους, πόσο δε μάλλον για νέα άτομα και παιδιά, οι οποίοι ενδέχεται να αυξηθούν λόγω της πανδημίας. </w:t>
      </w:r>
    </w:p>
    <w:p w14:paraId="292CAB72" w14:textId="77777777" w:rsidR="002F63B6" w:rsidRPr="00537191" w:rsidRDefault="002F63B6" w:rsidP="00903A2F">
      <w:pPr>
        <w:jc w:val="both"/>
        <w:rPr>
          <w:rFonts w:cs="Calibri"/>
          <w:color w:val="FF0000"/>
          <w:sz w:val="36"/>
          <w:szCs w:val="36"/>
        </w:rPr>
      </w:pPr>
      <w:r w:rsidRPr="00537191">
        <w:rPr>
          <w:rFonts w:cs="Calibri"/>
          <w:color w:val="000000"/>
          <w:sz w:val="36"/>
          <w:szCs w:val="36"/>
        </w:rPr>
        <w:t xml:space="preserve">Με αυτά ως δεδομένα γίνεται κατανοητό πως είναι επιτακτική ανάγκη η εφαρμογή νέων μέτρων πολιτικών υγείας, τα οποία πρέπει να εστιάσουν στην καταπολέμηση των κυριότερων αιτιών θανάτου. Υπάρχουν διάφοροι τρόποι για να επιτευχθεί αυτό, όμως επί του παρόντος θα εστιάσουμε στο κομμάτι της πρόληψης, που είναι το πρωτεύον, και στο οποίο το κράτος πρέπει να έχει σημαντικό ρόλο, και αφού </w:t>
      </w:r>
      <w:r w:rsidRPr="00537191">
        <w:rPr>
          <w:rFonts w:cs="Calibri"/>
          <w:color w:val="000000"/>
          <w:sz w:val="36"/>
          <w:szCs w:val="36"/>
        </w:rPr>
        <w:lastRenderedPageBreak/>
        <w:t xml:space="preserve">κλήθηκε να διαχειριστεί την πανδημία και την εκστρατεία εμβολιασμό κατά του κορωνοϊού, θα πρέπει να επωμιστεί και το βάρος της αντιμετώπισης των προβλημάτων της μεταπανδημικής εποχής, κατά την οποία θα κληθεί να αντιμετωπίσει τις συνέπειες της πανδημίας. Στα πλαίσια της ανάπτυξης της Πρωτοβάθμιας Φροντίδας Υγείας που έχει ξεκινήσει, θα πρέπει να τεθεί ως ένας εκ των πρωταρχικών στόχων η ενημέρωση και η ευαισθητοποίηση των πολιτών για την σημασία της πρόληψης, διότι αυτή η νοοτροπία λείπει στην χώρα μας και θα πρέπει να οικοδομηθεί, και το κράτος να συμβάλλει στην προτροπή για την διενέργεια εξετάσεων είτε με χρηματοδοτήσεις είτε με επιδοτήσεις. Ήδη έχουν θεσπιστεί εξετάσεις για ορισμένους τύπους καρκίνου, κάτι το οποίο προτείνεται να επεκταθεί και για άλλες μορφές, όπως και για τις καρδιολογικές ασθένειες, δηλαδή για τις δύο πρωταρχικές αιτίες θανάτου στην χώρα μας. </w:t>
      </w:r>
    </w:p>
    <w:p w14:paraId="31BA02F1" w14:textId="77777777" w:rsidR="002F63B6" w:rsidRPr="00537191" w:rsidRDefault="002F63B6" w:rsidP="00903A2F">
      <w:pPr>
        <w:jc w:val="both"/>
        <w:rPr>
          <w:rFonts w:cs="Calibri"/>
          <w:color w:val="000000"/>
          <w:sz w:val="36"/>
          <w:szCs w:val="36"/>
        </w:rPr>
      </w:pPr>
      <w:r w:rsidRPr="00537191">
        <w:rPr>
          <w:rFonts w:cs="Calibri"/>
          <w:color w:val="000000"/>
          <w:sz w:val="36"/>
          <w:szCs w:val="36"/>
        </w:rPr>
        <w:t>Μάλιστα, αφού είδαμε πως τα καρδιαγγειακά νοσήματα είναι εν πολλοίς άγνωστα και αποτελούν μία ύπουλη ασθένεια για τους νέους, θα ήταν ωφέλιμο να θεσμοθετηθούν προγνωστικές καρδιολογικές εξετάσεις στα ανήλικα παιδιά, όπως συμβαίνει και με πολλά εμβόλια, οι οποίες θα επαναλαμβάνονται σε καθορισμένες ηλικίες.</w:t>
      </w:r>
      <w:r w:rsidRPr="00537191">
        <w:rPr>
          <w:rFonts w:cs="Calibri"/>
          <w:color w:val="FF0000"/>
          <w:sz w:val="36"/>
          <w:szCs w:val="36"/>
        </w:rPr>
        <w:t xml:space="preserve"> </w:t>
      </w:r>
      <w:r w:rsidRPr="00537191">
        <w:rPr>
          <w:rFonts w:cs="Calibri"/>
          <w:color w:val="000000"/>
          <w:sz w:val="36"/>
          <w:szCs w:val="36"/>
        </w:rPr>
        <w:t xml:space="preserve">Έτσι, ασθένειες που δεν έχουν εκδηλωθεί θα εντοπίζονται σε πρώιμο στάδιο και θα αντιμετωπίζονται αναλόγως. Επίσης, χρήσιμη φαντάζει </w:t>
      </w:r>
      <w:r w:rsidRPr="00537191">
        <w:rPr>
          <w:rFonts w:cs="Calibri"/>
          <w:color w:val="000000"/>
          <w:sz w:val="36"/>
          <w:szCs w:val="36"/>
        </w:rPr>
        <w:lastRenderedPageBreak/>
        <w:t xml:space="preserve">η καθιέρωση εξετάσεων για το </w:t>
      </w:r>
      <w:r w:rsidRPr="00537191">
        <w:rPr>
          <w:rFonts w:cs="Calibri"/>
          <w:color w:val="000000"/>
          <w:sz w:val="36"/>
          <w:szCs w:val="36"/>
          <w:lang w:val="en-US"/>
        </w:rPr>
        <w:t>long</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Παρ’ ό,τι δεν υπάρχουν ακόμα εξειδικευμένες εξετάσεις γι’ αυτό το σύνδρομο, όταν κάποιος ασθενής νιώσει να διακατέχετε από τα συμπτώματα που μαρτυρούν την ύπαρξή του, όπως είναι η υπερβολική κόπωση, η δύσπνοια, η απώλεια όσφρησης, οι μυϊκοί πόνοι και οι πόνοι στις αρθρώσεις, τα προβλήματα με την μνήμη, οι διαταραχές ύπνου και η μειωμένη διάθεση, τα οποία επιμένουν για περισσότερες από 4 εβδομάδες μετά την νόσηση από κορωνοϊό, η επίσκεψη σε ιατρό κρίνεται αναγκαία και αυτός με την σειρά του θα μπορέσει να του χορηγήσει ένα πακέτο εξετάσεων που θα περιλαμβάνει πλήρη αιματολογικό έλεγχο, καρδιολογικές εξετάσεις, παλμική οξυμετρία, εξετάσεις θρόμβωσης, ακτινογραφία θώρακος κλπ,</w:t>
      </w:r>
      <w:r w:rsidRPr="00537191">
        <w:rPr>
          <w:rFonts w:cs="Calibri"/>
          <w:color w:val="FF0000"/>
          <w:sz w:val="36"/>
          <w:szCs w:val="36"/>
        </w:rPr>
        <w:t xml:space="preserve"> </w:t>
      </w:r>
      <w:r w:rsidRPr="00537191">
        <w:rPr>
          <w:rFonts w:cs="Calibri"/>
          <w:color w:val="000000"/>
          <w:sz w:val="36"/>
          <w:szCs w:val="36"/>
        </w:rPr>
        <w:t xml:space="preserve">για να αξιολογηθεί η κατάστασή της υγείας του. Το έτερο μέρος που αφορά το </w:t>
      </w:r>
      <w:r w:rsidRPr="00537191">
        <w:rPr>
          <w:rFonts w:cs="Calibri"/>
          <w:color w:val="000000"/>
          <w:sz w:val="36"/>
          <w:szCs w:val="36"/>
          <w:lang w:val="en-US"/>
        </w:rPr>
        <w:t>long</w:t>
      </w:r>
      <w:r w:rsidRPr="00537191">
        <w:rPr>
          <w:rFonts w:cs="Calibri"/>
          <w:color w:val="000000"/>
          <w:sz w:val="36"/>
          <w:szCs w:val="36"/>
        </w:rPr>
        <w:t>-</w:t>
      </w:r>
      <w:r w:rsidRPr="00537191">
        <w:rPr>
          <w:rFonts w:cs="Calibri"/>
          <w:color w:val="000000"/>
          <w:sz w:val="36"/>
          <w:szCs w:val="36"/>
          <w:lang w:val="en-US"/>
        </w:rPr>
        <w:t>covid</w:t>
      </w:r>
      <w:r w:rsidRPr="00537191">
        <w:rPr>
          <w:rFonts w:cs="Calibri"/>
          <w:color w:val="000000"/>
          <w:sz w:val="36"/>
          <w:szCs w:val="36"/>
        </w:rPr>
        <w:t xml:space="preserve"> έχει να κάνει με την αποκατάσταση ορισμένων ασθενών που τα συμπτώματα είναι βαρύτερα και θα χρειαστούν εξειδικευμένη αγωγή για την αντιμετώπιση της νόσου, όπως φυσικοθεραπεία, ψυχολογική υποστήριξη, ακόμα και νοσηλεία. </w:t>
      </w:r>
    </w:p>
    <w:p w14:paraId="480F98D0" w14:textId="77777777" w:rsidR="002F63B6" w:rsidRPr="00537191" w:rsidRDefault="002F63B6" w:rsidP="00903A2F">
      <w:pPr>
        <w:jc w:val="both"/>
        <w:rPr>
          <w:rFonts w:cs="Calibri"/>
          <w:color w:val="000000"/>
          <w:sz w:val="36"/>
          <w:szCs w:val="36"/>
        </w:rPr>
      </w:pPr>
      <w:r w:rsidRPr="00537191">
        <w:rPr>
          <w:rFonts w:cs="Calibri"/>
          <w:color w:val="000000"/>
          <w:sz w:val="36"/>
          <w:szCs w:val="36"/>
        </w:rPr>
        <w:t xml:space="preserve">Τέλος, πολύ σημαντικό είναι να αντιμετωπιστεί ο φόβος των ανθρώπων για τις επισκέψεις τους στις μονάδες υγείας και τα νοσοκομεία. Δεν πρέπει ο φόβος του κορωνοϊού να μας αποτρέπει από τον έλεγχο για άλλες ασθένειες, οι οποίες πρέπει να προλαμβάνονται. Πλέον </w:t>
      </w:r>
      <w:r w:rsidRPr="00537191">
        <w:rPr>
          <w:rFonts w:cs="Calibri"/>
          <w:color w:val="000000"/>
          <w:sz w:val="36"/>
          <w:szCs w:val="36"/>
        </w:rPr>
        <w:lastRenderedPageBreak/>
        <w:t xml:space="preserve">πρέπει να θεωρούμε αυτονόητο, πως οι επισκέψεις στις δομές υγείας θα γίνονται με την υποχρεωτική χρήση προστατευτικής μάσκας από τους πολίτες, κάτι που δεν συνέβαινε στο παρελθόν. Έτσι, αν ο κάθε επισκέπτης εισέρχεται στις μονάδες υγείας με μάσκα αυξημένης προστασίας τύπου </w:t>
      </w:r>
      <w:r w:rsidRPr="00537191">
        <w:rPr>
          <w:rFonts w:cs="Calibri"/>
          <w:color w:val="000000"/>
          <w:sz w:val="36"/>
          <w:szCs w:val="36"/>
          <w:lang w:val="en-US"/>
        </w:rPr>
        <w:t>KN</w:t>
      </w:r>
      <w:r w:rsidRPr="00537191">
        <w:rPr>
          <w:rFonts w:cs="Calibri"/>
          <w:color w:val="000000"/>
          <w:sz w:val="36"/>
          <w:szCs w:val="36"/>
        </w:rPr>
        <w:t>95 (</w:t>
      </w:r>
      <w:r w:rsidRPr="00537191">
        <w:rPr>
          <w:rFonts w:cs="Calibri"/>
          <w:color w:val="000000"/>
          <w:sz w:val="36"/>
          <w:szCs w:val="36"/>
          <w:lang w:val="en-US"/>
        </w:rPr>
        <w:t>FFP</w:t>
      </w:r>
      <w:r w:rsidRPr="00537191">
        <w:rPr>
          <w:rFonts w:cs="Calibri"/>
          <w:color w:val="000000"/>
          <w:sz w:val="36"/>
          <w:szCs w:val="36"/>
        </w:rPr>
        <w:t xml:space="preserve">2), μειώνει κατά πολύ την πιθανότητα επαφής με οποιονδήποτε ιό, κάτι που μπορεί να προσφέρει αίσθημα ασφάλειας. Με αυτό ως αφορμή θα μπορούσε αναπτυχθεί περισσότερο και η τηλεϊατρική, που σύμφωνα με τον ΠΟΥ είναι η παροχή ιατρικής περίθαλψης από όλους τους επαγγελματίες υγείας, χρησιμοποιώντας τεχνολογίες πληροφοριών και επικοινωνιών για την ανταλλαγή έγκυρης πληροφορίας για την διάγνωση, αγωγή και πρόληψη ασθενειών, στις περιπτώσεις που η απόσταση είναι κρίσιμος παράγοντας. Έτσι, οι ιατροί στις περιπτώσεις που αυτό είναι εφικτό, μπορούν να διενεργούν την εξέταση και να δίνουν την γνωμάτευσή τους εξ αποστάσεως, όπως και ορισμένες εξετάσεις δύνανται να πραγματοποιούνται χωρίς την παρουσία του ασθενούς σε μονάδες υγείας, όπως μερικές δειγματοληπτικές, που ο εξεταζόμενος μπορεί να συλλέγει μόνος του το δείγμα και να φτάνει για ανάλυση είτε με μέριμνα του εξεταστικού κέντρου είτε ακόμα και ταχυδρομικώς. </w:t>
      </w:r>
    </w:p>
    <w:p w14:paraId="1966456C" w14:textId="773995CF" w:rsidR="002F63B6" w:rsidRPr="00537191" w:rsidRDefault="00984931" w:rsidP="00903A2F">
      <w:pPr>
        <w:jc w:val="both"/>
        <w:rPr>
          <w:rFonts w:cs="Calibri"/>
          <w:b/>
          <w:bCs/>
          <w:color w:val="000000"/>
          <w:sz w:val="36"/>
          <w:szCs w:val="36"/>
        </w:rPr>
      </w:pPr>
      <w:r w:rsidRPr="00537191">
        <w:rPr>
          <w:rFonts w:cs="Calibri"/>
          <w:b/>
          <w:bCs/>
          <w:color w:val="000000"/>
          <w:sz w:val="36"/>
          <w:szCs w:val="36"/>
        </w:rPr>
        <w:t>Την έρευνα πραγματοποίησαν:</w:t>
      </w:r>
    </w:p>
    <w:p w14:paraId="37EBCDB8" w14:textId="77777777" w:rsidR="00984931" w:rsidRPr="00537191" w:rsidRDefault="00984931" w:rsidP="00984931">
      <w:pPr>
        <w:pStyle w:val="1"/>
        <w:jc w:val="both"/>
        <w:rPr>
          <w:b/>
          <w:i/>
          <w:color w:val="000000"/>
          <w:sz w:val="36"/>
          <w:szCs w:val="36"/>
        </w:rPr>
      </w:pPr>
      <w:r w:rsidRPr="00537191">
        <w:rPr>
          <w:b/>
          <w:bCs/>
          <w:i/>
          <w:iCs/>
          <w:color w:val="000000"/>
          <w:sz w:val="36"/>
          <w:szCs w:val="36"/>
        </w:rPr>
        <w:t>Καθηγητής Κωνσταντίνος Ζοπουνίδης, Ακαδημαϊκός</w:t>
      </w:r>
      <w:r w:rsidRPr="00537191">
        <w:rPr>
          <w:b/>
          <w:i/>
          <w:iCs/>
          <w:color w:val="000000"/>
          <w:sz w:val="36"/>
          <w:szCs w:val="36"/>
        </w:rPr>
        <w:t xml:space="preserve"> </w:t>
      </w:r>
    </w:p>
    <w:p w14:paraId="6C3FD19A" w14:textId="77777777" w:rsidR="00984931" w:rsidRPr="00537191" w:rsidRDefault="00984931" w:rsidP="00984931">
      <w:pPr>
        <w:pStyle w:val="1"/>
        <w:spacing w:line="240" w:lineRule="auto"/>
        <w:jc w:val="both"/>
        <w:rPr>
          <w:i/>
          <w:iCs/>
          <w:color w:val="000000"/>
          <w:sz w:val="36"/>
          <w:szCs w:val="36"/>
        </w:rPr>
      </w:pPr>
      <w:r w:rsidRPr="00537191">
        <w:rPr>
          <w:i/>
          <w:iCs/>
          <w:color w:val="000000"/>
          <w:sz w:val="36"/>
          <w:szCs w:val="36"/>
        </w:rPr>
        <w:lastRenderedPageBreak/>
        <w:t>Βασιλική Ακαδημία Οικονομικών &amp; Χρηματοοικονομικών</w:t>
      </w:r>
      <w:r w:rsidRPr="00537191">
        <w:rPr>
          <w:i/>
          <w:iCs/>
          <w:color w:val="000000"/>
          <w:sz w:val="36"/>
          <w:szCs w:val="36"/>
        </w:rPr>
        <w:br/>
        <w:t>Βασιλική Ευρωπαϊκή Ακαδημία των Διδακτόρων</w:t>
      </w:r>
    </w:p>
    <w:p w14:paraId="6758DEE7" w14:textId="77777777" w:rsidR="00984931" w:rsidRPr="00537191" w:rsidRDefault="00984931" w:rsidP="00984931">
      <w:pPr>
        <w:pStyle w:val="1"/>
        <w:spacing w:line="240" w:lineRule="auto"/>
        <w:jc w:val="both"/>
        <w:rPr>
          <w:i/>
          <w:iCs/>
          <w:color w:val="000000"/>
          <w:sz w:val="36"/>
          <w:szCs w:val="36"/>
          <w:lang w:val="en-US"/>
        </w:rPr>
      </w:pPr>
      <w:r w:rsidRPr="00537191">
        <w:rPr>
          <w:i/>
          <w:iCs/>
          <w:color w:val="000000"/>
          <w:sz w:val="36"/>
          <w:szCs w:val="36"/>
        </w:rPr>
        <w:t>Επίτιμος</w:t>
      </w:r>
      <w:r w:rsidRPr="00537191">
        <w:rPr>
          <w:i/>
          <w:iCs/>
          <w:color w:val="000000"/>
          <w:sz w:val="36"/>
          <w:szCs w:val="36"/>
          <w:lang w:val="en-GB"/>
        </w:rPr>
        <w:t xml:space="preserve"> </w:t>
      </w:r>
      <w:r w:rsidRPr="00537191">
        <w:rPr>
          <w:i/>
          <w:iCs/>
          <w:color w:val="000000"/>
          <w:sz w:val="36"/>
          <w:szCs w:val="36"/>
        </w:rPr>
        <w:t>Δρ</w:t>
      </w:r>
      <w:r w:rsidRPr="00537191">
        <w:rPr>
          <w:i/>
          <w:iCs/>
          <w:color w:val="000000"/>
          <w:sz w:val="36"/>
          <w:szCs w:val="36"/>
          <w:lang w:val="en-GB"/>
        </w:rPr>
        <w:t xml:space="preserve">. </w:t>
      </w:r>
      <w:r w:rsidRPr="00537191">
        <w:rPr>
          <w:i/>
          <w:iCs/>
          <w:color w:val="000000"/>
          <w:sz w:val="36"/>
          <w:szCs w:val="36"/>
        </w:rPr>
        <w:t>ΑΠΘ</w:t>
      </w:r>
      <w:r w:rsidRPr="00537191">
        <w:rPr>
          <w:i/>
          <w:iCs/>
          <w:color w:val="000000"/>
          <w:sz w:val="36"/>
          <w:szCs w:val="36"/>
          <w:lang w:val="en-GB"/>
        </w:rPr>
        <w:br/>
      </w:r>
      <w:r w:rsidRPr="00537191">
        <w:rPr>
          <w:i/>
          <w:iCs/>
          <w:color w:val="000000"/>
          <w:sz w:val="36"/>
          <w:szCs w:val="36"/>
        </w:rPr>
        <w:t>Πολυτεχνείο</w:t>
      </w:r>
      <w:r w:rsidRPr="00537191">
        <w:rPr>
          <w:i/>
          <w:iCs/>
          <w:color w:val="000000"/>
          <w:sz w:val="36"/>
          <w:szCs w:val="36"/>
          <w:lang w:val="en-GB"/>
        </w:rPr>
        <w:t xml:space="preserve"> </w:t>
      </w:r>
      <w:r w:rsidRPr="00537191">
        <w:rPr>
          <w:i/>
          <w:iCs/>
          <w:color w:val="000000"/>
          <w:sz w:val="36"/>
          <w:szCs w:val="36"/>
        </w:rPr>
        <w:t>Κρήτης</w:t>
      </w:r>
      <w:r w:rsidRPr="00537191">
        <w:rPr>
          <w:i/>
          <w:iCs/>
          <w:color w:val="000000"/>
          <w:sz w:val="36"/>
          <w:szCs w:val="36"/>
          <w:lang w:val="en-GB"/>
        </w:rPr>
        <w:t xml:space="preserve"> &amp; </w:t>
      </w:r>
      <w:r w:rsidRPr="00537191">
        <w:rPr>
          <w:i/>
          <w:iCs/>
          <w:color w:val="000000"/>
          <w:sz w:val="36"/>
          <w:szCs w:val="36"/>
          <w:lang w:val="en-US"/>
        </w:rPr>
        <w:t>Audencia</w:t>
      </w:r>
      <w:r w:rsidRPr="00537191">
        <w:rPr>
          <w:i/>
          <w:iCs/>
          <w:color w:val="000000"/>
          <w:sz w:val="36"/>
          <w:szCs w:val="36"/>
          <w:lang w:val="en-GB"/>
        </w:rPr>
        <w:t xml:space="preserve"> </w:t>
      </w:r>
      <w:r w:rsidRPr="00537191">
        <w:rPr>
          <w:i/>
          <w:iCs/>
          <w:color w:val="000000"/>
          <w:sz w:val="36"/>
          <w:szCs w:val="36"/>
          <w:lang w:val="en-US"/>
        </w:rPr>
        <w:t>Business</w:t>
      </w:r>
      <w:r w:rsidRPr="00537191">
        <w:rPr>
          <w:i/>
          <w:iCs/>
          <w:color w:val="000000"/>
          <w:sz w:val="36"/>
          <w:szCs w:val="36"/>
          <w:lang w:val="en-GB"/>
        </w:rPr>
        <w:t xml:space="preserve"> </w:t>
      </w:r>
      <w:r w:rsidRPr="00537191">
        <w:rPr>
          <w:i/>
          <w:iCs/>
          <w:color w:val="000000"/>
          <w:sz w:val="36"/>
          <w:szCs w:val="36"/>
          <w:lang w:val="en-US"/>
        </w:rPr>
        <w:t>School</w:t>
      </w:r>
      <w:r w:rsidRPr="00537191">
        <w:rPr>
          <w:i/>
          <w:iCs/>
          <w:color w:val="000000"/>
          <w:sz w:val="36"/>
          <w:szCs w:val="36"/>
          <w:lang w:val="en-GB"/>
        </w:rPr>
        <w:t xml:space="preserve">, </w:t>
      </w:r>
      <w:r w:rsidRPr="00537191">
        <w:rPr>
          <w:i/>
          <w:iCs/>
          <w:color w:val="000000"/>
          <w:sz w:val="36"/>
          <w:szCs w:val="36"/>
          <w:lang w:val="en-US"/>
        </w:rPr>
        <w:t>France</w:t>
      </w:r>
    </w:p>
    <w:p w14:paraId="576C3BBA" w14:textId="77777777" w:rsidR="00984931" w:rsidRPr="00537191" w:rsidRDefault="00984931" w:rsidP="00984931">
      <w:pPr>
        <w:pStyle w:val="1"/>
        <w:spacing w:line="240" w:lineRule="auto"/>
        <w:jc w:val="both"/>
        <w:rPr>
          <w:b/>
          <w:i/>
          <w:color w:val="000000"/>
          <w:sz w:val="36"/>
          <w:szCs w:val="36"/>
          <w:lang w:val="en-US"/>
        </w:rPr>
      </w:pPr>
      <w:r w:rsidRPr="00537191">
        <w:rPr>
          <w:b/>
          <w:i/>
          <w:color w:val="000000"/>
          <w:sz w:val="36"/>
          <w:szCs w:val="36"/>
          <w:lang w:val="en-GB"/>
        </w:rPr>
        <w:br/>
      </w:r>
      <w:r w:rsidRPr="00537191">
        <w:rPr>
          <w:b/>
          <w:i/>
          <w:color w:val="000000"/>
          <w:sz w:val="36"/>
          <w:szCs w:val="36"/>
        </w:rPr>
        <w:t>Δρ</w:t>
      </w:r>
      <w:r w:rsidRPr="00537191">
        <w:rPr>
          <w:b/>
          <w:i/>
          <w:color w:val="000000"/>
          <w:sz w:val="36"/>
          <w:szCs w:val="36"/>
          <w:lang w:val="en-US"/>
        </w:rPr>
        <w:t xml:space="preserve">. </w:t>
      </w:r>
      <w:r w:rsidRPr="00537191">
        <w:rPr>
          <w:b/>
          <w:i/>
          <w:color w:val="000000"/>
          <w:sz w:val="36"/>
          <w:szCs w:val="36"/>
        </w:rPr>
        <w:t>Δημήτρης</w:t>
      </w:r>
      <w:r w:rsidRPr="00537191">
        <w:rPr>
          <w:b/>
          <w:i/>
          <w:color w:val="000000"/>
          <w:sz w:val="36"/>
          <w:szCs w:val="36"/>
          <w:lang w:val="en-US"/>
        </w:rPr>
        <w:t xml:space="preserve"> </w:t>
      </w:r>
      <w:r w:rsidRPr="00537191">
        <w:rPr>
          <w:b/>
          <w:i/>
          <w:color w:val="000000"/>
          <w:sz w:val="36"/>
          <w:szCs w:val="36"/>
        </w:rPr>
        <w:t>Μπατάκης</w:t>
      </w:r>
    </w:p>
    <w:p w14:paraId="6E3C396A" w14:textId="77777777" w:rsidR="00984931" w:rsidRPr="00537191" w:rsidRDefault="00984931" w:rsidP="00984931">
      <w:pPr>
        <w:pStyle w:val="1"/>
        <w:spacing w:line="240" w:lineRule="auto"/>
        <w:jc w:val="both"/>
        <w:rPr>
          <w:i/>
          <w:color w:val="000000"/>
          <w:sz w:val="36"/>
          <w:szCs w:val="36"/>
          <w:lang w:val="en-US"/>
        </w:rPr>
      </w:pPr>
      <w:r w:rsidRPr="00537191">
        <w:rPr>
          <w:i/>
          <w:color w:val="000000"/>
          <w:sz w:val="36"/>
          <w:szCs w:val="36"/>
        </w:rPr>
        <w:t>Πολυτεχνείο</w:t>
      </w:r>
      <w:r w:rsidRPr="00537191">
        <w:rPr>
          <w:i/>
          <w:color w:val="000000"/>
          <w:sz w:val="36"/>
          <w:szCs w:val="36"/>
          <w:lang w:val="en-US"/>
        </w:rPr>
        <w:t xml:space="preserve"> </w:t>
      </w:r>
      <w:r w:rsidRPr="00537191">
        <w:rPr>
          <w:i/>
          <w:color w:val="000000"/>
          <w:sz w:val="36"/>
          <w:szCs w:val="36"/>
        </w:rPr>
        <w:t>Κρήτης</w:t>
      </w:r>
      <w:r w:rsidRPr="00537191">
        <w:rPr>
          <w:i/>
          <w:color w:val="000000"/>
          <w:sz w:val="36"/>
          <w:szCs w:val="36"/>
          <w:lang w:val="en-US"/>
        </w:rPr>
        <w:t xml:space="preserve">, </w:t>
      </w:r>
      <w:r w:rsidRPr="00537191">
        <w:rPr>
          <w:i/>
          <w:color w:val="000000"/>
          <w:sz w:val="36"/>
          <w:szCs w:val="36"/>
        </w:rPr>
        <w:t>Εργαστήριο</w:t>
      </w:r>
      <w:r w:rsidRPr="00537191">
        <w:rPr>
          <w:i/>
          <w:color w:val="000000"/>
          <w:sz w:val="36"/>
          <w:szCs w:val="36"/>
          <w:lang w:val="en-US"/>
        </w:rPr>
        <w:t xml:space="preserve"> Financial Engineering</w:t>
      </w:r>
      <w:r w:rsidRPr="00537191">
        <w:rPr>
          <w:color w:val="000000"/>
          <w:sz w:val="36"/>
          <w:szCs w:val="36"/>
          <w:lang w:val="en-US"/>
        </w:rPr>
        <w:br/>
      </w:r>
      <w:r w:rsidRPr="00537191">
        <w:rPr>
          <w:i/>
          <w:color w:val="000000"/>
          <w:sz w:val="36"/>
          <w:szCs w:val="36"/>
        </w:rPr>
        <w:t>Μ</w:t>
      </w:r>
      <w:r w:rsidRPr="00537191">
        <w:rPr>
          <w:i/>
          <w:color w:val="000000"/>
          <w:sz w:val="36"/>
          <w:szCs w:val="36"/>
          <w:lang w:val="en-US"/>
        </w:rPr>
        <w:t>.Sc. LSE International Health Policy, M.Sc. Health Economics and Management</w:t>
      </w:r>
    </w:p>
    <w:p w14:paraId="17739876" w14:textId="77777777" w:rsidR="00984931" w:rsidRPr="00537191" w:rsidRDefault="00984931" w:rsidP="00984931">
      <w:pPr>
        <w:pStyle w:val="1"/>
        <w:spacing w:line="240" w:lineRule="auto"/>
        <w:jc w:val="both"/>
        <w:rPr>
          <w:b/>
          <w:i/>
          <w:color w:val="000000"/>
          <w:sz w:val="36"/>
          <w:szCs w:val="36"/>
        </w:rPr>
      </w:pPr>
      <w:r w:rsidRPr="00537191">
        <w:rPr>
          <w:b/>
          <w:i/>
          <w:color w:val="000000"/>
          <w:sz w:val="36"/>
          <w:szCs w:val="36"/>
        </w:rPr>
        <w:br/>
        <w:t>Μανώλης Καρακώστας</w:t>
      </w:r>
    </w:p>
    <w:p w14:paraId="48ACB192" w14:textId="77777777" w:rsidR="00984931" w:rsidRPr="00537191" w:rsidRDefault="00984931" w:rsidP="00984931">
      <w:pPr>
        <w:jc w:val="both"/>
        <w:rPr>
          <w:rFonts w:cs="Calibri"/>
          <w:sz w:val="36"/>
          <w:szCs w:val="36"/>
        </w:rPr>
      </w:pPr>
      <w:r w:rsidRPr="00537191">
        <w:rPr>
          <w:rFonts w:cs="Calibri"/>
          <w:i/>
          <w:color w:val="000000"/>
          <w:sz w:val="36"/>
          <w:szCs w:val="36"/>
        </w:rPr>
        <w:t>M.Sc. Διοίκησης Επιχειρήσεων</w:t>
      </w:r>
      <w:r w:rsidRPr="00537191">
        <w:rPr>
          <w:rFonts w:cs="Calibri"/>
          <w:color w:val="000000"/>
          <w:sz w:val="36"/>
          <w:szCs w:val="36"/>
        </w:rPr>
        <w:br/>
      </w:r>
      <w:r w:rsidRPr="00537191">
        <w:rPr>
          <w:rFonts w:cs="Calibri"/>
          <w:i/>
          <w:color w:val="000000"/>
          <w:sz w:val="36"/>
          <w:szCs w:val="36"/>
        </w:rPr>
        <w:t>Επαγγελματίας Υγείας – Ερευνητής</w:t>
      </w:r>
    </w:p>
    <w:p w14:paraId="0381FC42" w14:textId="77777777" w:rsidR="002F63B6" w:rsidRPr="00537191" w:rsidRDefault="002F63B6" w:rsidP="00903A2F">
      <w:pPr>
        <w:jc w:val="both"/>
        <w:rPr>
          <w:rFonts w:cs="Calibri"/>
          <w:color w:val="000000"/>
          <w:sz w:val="36"/>
          <w:szCs w:val="36"/>
        </w:rPr>
      </w:pPr>
    </w:p>
    <w:p w14:paraId="2CB7100C" w14:textId="77777777" w:rsidR="002F63B6" w:rsidRPr="00537191" w:rsidRDefault="002F63B6" w:rsidP="00903A2F">
      <w:pPr>
        <w:jc w:val="both"/>
        <w:rPr>
          <w:rFonts w:cs="Calibri"/>
          <w:b/>
          <w:sz w:val="36"/>
          <w:szCs w:val="36"/>
        </w:rPr>
      </w:pPr>
    </w:p>
    <w:sectPr w:rsidR="002F63B6" w:rsidRPr="00537191" w:rsidSect="007F36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63"/>
    <w:rsid w:val="00006D48"/>
    <w:rsid w:val="00010C43"/>
    <w:rsid w:val="0001194D"/>
    <w:rsid w:val="000126D4"/>
    <w:rsid w:val="000158CD"/>
    <w:rsid w:val="00017059"/>
    <w:rsid w:val="00023C31"/>
    <w:rsid w:val="00025940"/>
    <w:rsid w:val="00054936"/>
    <w:rsid w:val="00057E08"/>
    <w:rsid w:val="00064D78"/>
    <w:rsid w:val="00066601"/>
    <w:rsid w:val="00070CDC"/>
    <w:rsid w:val="0007719C"/>
    <w:rsid w:val="00080326"/>
    <w:rsid w:val="000835AF"/>
    <w:rsid w:val="00084377"/>
    <w:rsid w:val="000855CD"/>
    <w:rsid w:val="0009062B"/>
    <w:rsid w:val="000919A5"/>
    <w:rsid w:val="0009338D"/>
    <w:rsid w:val="00095D44"/>
    <w:rsid w:val="000B04AB"/>
    <w:rsid w:val="000B08B8"/>
    <w:rsid w:val="000C25DA"/>
    <w:rsid w:val="000C3F27"/>
    <w:rsid w:val="000C40C8"/>
    <w:rsid w:val="000C5AEF"/>
    <w:rsid w:val="000C69AC"/>
    <w:rsid w:val="000D7EB8"/>
    <w:rsid w:val="000F04E6"/>
    <w:rsid w:val="000F1592"/>
    <w:rsid w:val="000F5479"/>
    <w:rsid w:val="00100C64"/>
    <w:rsid w:val="00126317"/>
    <w:rsid w:val="0012761A"/>
    <w:rsid w:val="00127D49"/>
    <w:rsid w:val="00134CFA"/>
    <w:rsid w:val="001400EF"/>
    <w:rsid w:val="00142454"/>
    <w:rsid w:val="00143BCD"/>
    <w:rsid w:val="001453E5"/>
    <w:rsid w:val="001508B5"/>
    <w:rsid w:val="00151BA5"/>
    <w:rsid w:val="0015388D"/>
    <w:rsid w:val="00155E7E"/>
    <w:rsid w:val="00157359"/>
    <w:rsid w:val="001621E7"/>
    <w:rsid w:val="00167EA4"/>
    <w:rsid w:val="00176459"/>
    <w:rsid w:val="001816D6"/>
    <w:rsid w:val="00182FB4"/>
    <w:rsid w:val="00186202"/>
    <w:rsid w:val="00196180"/>
    <w:rsid w:val="001A2114"/>
    <w:rsid w:val="001A2BBC"/>
    <w:rsid w:val="001C0BC2"/>
    <w:rsid w:val="001C228F"/>
    <w:rsid w:val="001C2BC9"/>
    <w:rsid w:val="001C5134"/>
    <w:rsid w:val="001D061C"/>
    <w:rsid w:val="001D62C4"/>
    <w:rsid w:val="001D79ED"/>
    <w:rsid w:val="001E0D98"/>
    <w:rsid w:val="001F7D59"/>
    <w:rsid w:val="00201541"/>
    <w:rsid w:val="00206BC6"/>
    <w:rsid w:val="00210DA0"/>
    <w:rsid w:val="00214A95"/>
    <w:rsid w:val="00215E98"/>
    <w:rsid w:val="00226C61"/>
    <w:rsid w:val="00233D9A"/>
    <w:rsid w:val="002362EE"/>
    <w:rsid w:val="00236942"/>
    <w:rsid w:val="00243ACF"/>
    <w:rsid w:val="0024629B"/>
    <w:rsid w:val="00252551"/>
    <w:rsid w:val="002531FE"/>
    <w:rsid w:val="00272530"/>
    <w:rsid w:val="0027662F"/>
    <w:rsid w:val="002868E2"/>
    <w:rsid w:val="00287654"/>
    <w:rsid w:val="00287720"/>
    <w:rsid w:val="00287AAF"/>
    <w:rsid w:val="00291F69"/>
    <w:rsid w:val="00294E69"/>
    <w:rsid w:val="002A531B"/>
    <w:rsid w:val="002B095E"/>
    <w:rsid w:val="002B2BD3"/>
    <w:rsid w:val="002B3E02"/>
    <w:rsid w:val="002B6D55"/>
    <w:rsid w:val="002B793D"/>
    <w:rsid w:val="002C005A"/>
    <w:rsid w:val="002C140D"/>
    <w:rsid w:val="002C2963"/>
    <w:rsid w:val="002C2A16"/>
    <w:rsid w:val="002D0497"/>
    <w:rsid w:val="002D3796"/>
    <w:rsid w:val="002D381F"/>
    <w:rsid w:val="002D536D"/>
    <w:rsid w:val="002D540A"/>
    <w:rsid w:val="002D7D0E"/>
    <w:rsid w:val="002F015A"/>
    <w:rsid w:val="002F2F17"/>
    <w:rsid w:val="002F3378"/>
    <w:rsid w:val="002F5A64"/>
    <w:rsid w:val="002F63B6"/>
    <w:rsid w:val="003010C3"/>
    <w:rsid w:val="00304BFA"/>
    <w:rsid w:val="0031198D"/>
    <w:rsid w:val="0031249D"/>
    <w:rsid w:val="0031297A"/>
    <w:rsid w:val="003311D6"/>
    <w:rsid w:val="00336618"/>
    <w:rsid w:val="003371D1"/>
    <w:rsid w:val="003411BC"/>
    <w:rsid w:val="003419CF"/>
    <w:rsid w:val="00353F67"/>
    <w:rsid w:val="003556E4"/>
    <w:rsid w:val="00356955"/>
    <w:rsid w:val="0036070D"/>
    <w:rsid w:val="0036230F"/>
    <w:rsid w:val="00363ADB"/>
    <w:rsid w:val="00365A75"/>
    <w:rsid w:val="003663B1"/>
    <w:rsid w:val="003664F5"/>
    <w:rsid w:val="00372B4E"/>
    <w:rsid w:val="00373F86"/>
    <w:rsid w:val="00376FA2"/>
    <w:rsid w:val="00381602"/>
    <w:rsid w:val="00381C41"/>
    <w:rsid w:val="003857DE"/>
    <w:rsid w:val="00397F05"/>
    <w:rsid w:val="003A07F0"/>
    <w:rsid w:val="003A1142"/>
    <w:rsid w:val="003A7EAB"/>
    <w:rsid w:val="003B43E4"/>
    <w:rsid w:val="003B6F2A"/>
    <w:rsid w:val="003C65DC"/>
    <w:rsid w:val="003D13B6"/>
    <w:rsid w:val="003D5F66"/>
    <w:rsid w:val="003E227C"/>
    <w:rsid w:val="003E4DD0"/>
    <w:rsid w:val="003F0701"/>
    <w:rsid w:val="003F5CFA"/>
    <w:rsid w:val="003F7606"/>
    <w:rsid w:val="004041F3"/>
    <w:rsid w:val="004047B3"/>
    <w:rsid w:val="00415329"/>
    <w:rsid w:val="0042578D"/>
    <w:rsid w:val="0042597E"/>
    <w:rsid w:val="00432776"/>
    <w:rsid w:val="00440B96"/>
    <w:rsid w:val="004410A9"/>
    <w:rsid w:val="004426B2"/>
    <w:rsid w:val="00442A6B"/>
    <w:rsid w:val="0044579E"/>
    <w:rsid w:val="00454BE7"/>
    <w:rsid w:val="0045580A"/>
    <w:rsid w:val="004570F6"/>
    <w:rsid w:val="00460D15"/>
    <w:rsid w:val="00464272"/>
    <w:rsid w:val="00464D75"/>
    <w:rsid w:val="004654DF"/>
    <w:rsid w:val="00465E8C"/>
    <w:rsid w:val="00491549"/>
    <w:rsid w:val="00494A6A"/>
    <w:rsid w:val="00494BC0"/>
    <w:rsid w:val="00495E54"/>
    <w:rsid w:val="004A1476"/>
    <w:rsid w:val="004A2173"/>
    <w:rsid w:val="004A5D9B"/>
    <w:rsid w:val="004B3102"/>
    <w:rsid w:val="004B47C8"/>
    <w:rsid w:val="004C12EE"/>
    <w:rsid w:val="004D11C1"/>
    <w:rsid w:val="004D33C3"/>
    <w:rsid w:val="004D57A5"/>
    <w:rsid w:val="004D587F"/>
    <w:rsid w:val="004D7BB7"/>
    <w:rsid w:val="004E72FD"/>
    <w:rsid w:val="004F09F4"/>
    <w:rsid w:val="004F307B"/>
    <w:rsid w:val="004F6CA8"/>
    <w:rsid w:val="005238A5"/>
    <w:rsid w:val="00535B3B"/>
    <w:rsid w:val="00537191"/>
    <w:rsid w:val="0054164C"/>
    <w:rsid w:val="0056233A"/>
    <w:rsid w:val="005624B4"/>
    <w:rsid w:val="00564466"/>
    <w:rsid w:val="005661E7"/>
    <w:rsid w:val="00574520"/>
    <w:rsid w:val="00576682"/>
    <w:rsid w:val="00580F6C"/>
    <w:rsid w:val="00594039"/>
    <w:rsid w:val="00596D37"/>
    <w:rsid w:val="005971A0"/>
    <w:rsid w:val="005971B7"/>
    <w:rsid w:val="005A2EE0"/>
    <w:rsid w:val="005A78E6"/>
    <w:rsid w:val="005B1EC5"/>
    <w:rsid w:val="005B3010"/>
    <w:rsid w:val="005B5B3E"/>
    <w:rsid w:val="005D01D9"/>
    <w:rsid w:val="005D30F4"/>
    <w:rsid w:val="005D6EB6"/>
    <w:rsid w:val="005E56E6"/>
    <w:rsid w:val="005E57CC"/>
    <w:rsid w:val="005E6B99"/>
    <w:rsid w:val="005F676D"/>
    <w:rsid w:val="00602C35"/>
    <w:rsid w:val="00607C3D"/>
    <w:rsid w:val="00607F7C"/>
    <w:rsid w:val="00611F7F"/>
    <w:rsid w:val="006165DE"/>
    <w:rsid w:val="00621F17"/>
    <w:rsid w:val="00627D03"/>
    <w:rsid w:val="00631C1C"/>
    <w:rsid w:val="00642821"/>
    <w:rsid w:val="006430B0"/>
    <w:rsid w:val="00652389"/>
    <w:rsid w:val="00653BF8"/>
    <w:rsid w:val="00655DE2"/>
    <w:rsid w:val="00656D09"/>
    <w:rsid w:val="00664E3A"/>
    <w:rsid w:val="0066528D"/>
    <w:rsid w:val="00666E95"/>
    <w:rsid w:val="00676DCC"/>
    <w:rsid w:val="006775E5"/>
    <w:rsid w:val="006810AB"/>
    <w:rsid w:val="0069109E"/>
    <w:rsid w:val="00694190"/>
    <w:rsid w:val="006A1793"/>
    <w:rsid w:val="006A17D7"/>
    <w:rsid w:val="006A1FEE"/>
    <w:rsid w:val="006A2986"/>
    <w:rsid w:val="006A2E74"/>
    <w:rsid w:val="006C094C"/>
    <w:rsid w:val="006C0D9F"/>
    <w:rsid w:val="006C1E0F"/>
    <w:rsid w:val="006C68E4"/>
    <w:rsid w:val="006E26FD"/>
    <w:rsid w:val="006E3D72"/>
    <w:rsid w:val="006F7663"/>
    <w:rsid w:val="00701803"/>
    <w:rsid w:val="007116DF"/>
    <w:rsid w:val="00711714"/>
    <w:rsid w:val="00715832"/>
    <w:rsid w:val="00724912"/>
    <w:rsid w:val="00733513"/>
    <w:rsid w:val="00737A16"/>
    <w:rsid w:val="007414D7"/>
    <w:rsid w:val="0074577F"/>
    <w:rsid w:val="00747903"/>
    <w:rsid w:val="00751C79"/>
    <w:rsid w:val="0075574F"/>
    <w:rsid w:val="0077013C"/>
    <w:rsid w:val="00770D4A"/>
    <w:rsid w:val="00773F7F"/>
    <w:rsid w:val="007756DE"/>
    <w:rsid w:val="0078126C"/>
    <w:rsid w:val="007827F3"/>
    <w:rsid w:val="00790912"/>
    <w:rsid w:val="00790AA5"/>
    <w:rsid w:val="007A0503"/>
    <w:rsid w:val="007A0925"/>
    <w:rsid w:val="007A4679"/>
    <w:rsid w:val="007A4769"/>
    <w:rsid w:val="007A585C"/>
    <w:rsid w:val="007B027A"/>
    <w:rsid w:val="007B3E14"/>
    <w:rsid w:val="007B6ABC"/>
    <w:rsid w:val="007C70FA"/>
    <w:rsid w:val="007D097E"/>
    <w:rsid w:val="007D17D7"/>
    <w:rsid w:val="007D3833"/>
    <w:rsid w:val="007D3BAC"/>
    <w:rsid w:val="007D58A0"/>
    <w:rsid w:val="007E0B2A"/>
    <w:rsid w:val="007E38E1"/>
    <w:rsid w:val="007E416A"/>
    <w:rsid w:val="007E6048"/>
    <w:rsid w:val="007F0254"/>
    <w:rsid w:val="007F05CA"/>
    <w:rsid w:val="007F3630"/>
    <w:rsid w:val="007F3669"/>
    <w:rsid w:val="008003AF"/>
    <w:rsid w:val="00800806"/>
    <w:rsid w:val="00803A8E"/>
    <w:rsid w:val="00804505"/>
    <w:rsid w:val="008058C4"/>
    <w:rsid w:val="008059C8"/>
    <w:rsid w:val="008068AB"/>
    <w:rsid w:val="0081120A"/>
    <w:rsid w:val="00811D1F"/>
    <w:rsid w:val="00816E0A"/>
    <w:rsid w:val="008268FD"/>
    <w:rsid w:val="0083135D"/>
    <w:rsid w:val="00831F26"/>
    <w:rsid w:val="00832C8F"/>
    <w:rsid w:val="008360DE"/>
    <w:rsid w:val="008361B9"/>
    <w:rsid w:val="0083725B"/>
    <w:rsid w:val="00840D5A"/>
    <w:rsid w:val="00844AA2"/>
    <w:rsid w:val="00846BD4"/>
    <w:rsid w:val="00847AD4"/>
    <w:rsid w:val="008532B6"/>
    <w:rsid w:val="00854D2C"/>
    <w:rsid w:val="00862585"/>
    <w:rsid w:val="00862B88"/>
    <w:rsid w:val="00864C69"/>
    <w:rsid w:val="008660F4"/>
    <w:rsid w:val="00873117"/>
    <w:rsid w:val="008755AD"/>
    <w:rsid w:val="008775B8"/>
    <w:rsid w:val="008833AE"/>
    <w:rsid w:val="00891DF1"/>
    <w:rsid w:val="008A2E7F"/>
    <w:rsid w:val="008B38CA"/>
    <w:rsid w:val="008B3E83"/>
    <w:rsid w:val="008B492A"/>
    <w:rsid w:val="008C7964"/>
    <w:rsid w:val="008D3109"/>
    <w:rsid w:val="008D6B02"/>
    <w:rsid w:val="008E1874"/>
    <w:rsid w:val="008E2EEB"/>
    <w:rsid w:val="008E7403"/>
    <w:rsid w:val="008E7E5F"/>
    <w:rsid w:val="008F13CB"/>
    <w:rsid w:val="008F5D09"/>
    <w:rsid w:val="00901ED9"/>
    <w:rsid w:val="009020EB"/>
    <w:rsid w:val="00902988"/>
    <w:rsid w:val="00903A2F"/>
    <w:rsid w:val="009102CC"/>
    <w:rsid w:val="00913ACA"/>
    <w:rsid w:val="0091528A"/>
    <w:rsid w:val="009300AC"/>
    <w:rsid w:val="00934389"/>
    <w:rsid w:val="00943E1B"/>
    <w:rsid w:val="00945549"/>
    <w:rsid w:val="009467F4"/>
    <w:rsid w:val="00954525"/>
    <w:rsid w:val="0095468E"/>
    <w:rsid w:val="0096029F"/>
    <w:rsid w:val="00960FF9"/>
    <w:rsid w:val="009675BF"/>
    <w:rsid w:val="00971E12"/>
    <w:rsid w:val="009728A6"/>
    <w:rsid w:val="0097345C"/>
    <w:rsid w:val="00975E56"/>
    <w:rsid w:val="00984931"/>
    <w:rsid w:val="00985863"/>
    <w:rsid w:val="00990A7A"/>
    <w:rsid w:val="00994C61"/>
    <w:rsid w:val="00995F72"/>
    <w:rsid w:val="009A3E3E"/>
    <w:rsid w:val="009B0728"/>
    <w:rsid w:val="009B2E8B"/>
    <w:rsid w:val="009C4A88"/>
    <w:rsid w:val="009D55BF"/>
    <w:rsid w:val="009D6630"/>
    <w:rsid w:val="009D7016"/>
    <w:rsid w:val="009E0D70"/>
    <w:rsid w:val="009E34A4"/>
    <w:rsid w:val="009E4126"/>
    <w:rsid w:val="009E677A"/>
    <w:rsid w:val="009E706F"/>
    <w:rsid w:val="009F10F3"/>
    <w:rsid w:val="009F25BF"/>
    <w:rsid w:val="009F2630"/>
    <w:rsid w:val="009F7BDD"/>
    <w:rsid w:val="00A24661"/>
    <w:rsid w:val="00A26C09"/>
    <w:rsid w:val="00A3068F"/>
    <w:rsid w:val="00A31896"/>
    <w:rsid w:val="00A376F2"/>
    <w:rsid w:val="00A608B1"/>
    <w:rsid w:val="00A61D97"/>
    <w:rsid w:val="00A7665A"/>
    <w:rsid w:val="00A821CE"/>
    <w:rsid w:val="00A8740F"/>
    <w:rsid w:val="00A9655A"/>
    <w:rsid w:val="00A972E0"/>
    <w:rsid w:val="00AA560E"/>
    <w:rsid w:val="00AB1470"/>
    <w:rsid w:val="00AB2303"/>
    <w:rsid w:val="00AB5C94"/>
    <w:rsid w:val="00AC5D54"/>
    <w:rsid w:val="00AD2B1B"/>
    <w:rsid w:val="00AD7F98"/>
    <w:rsid w:val="00AE0E39"/>
    <w:rsid w:val="00AE1363"/>
    <w:rsid w:val="00AF2CE6"/>
    <w:rsid w:val="00AF5A35"/>
    <w:rsid w:val="00B001BD"/>
    <w:rsid w:val="00B07E48"/>
    <w:rsid w:val="00B121E7"/>
    <w:rsid w:val="00B1723E"/>
    <w:rsid w:val="00B17E3A"/>
    <w:rsid w:val="00B23813"/>
    <w:rsid w:val="00B24135"/>
    <w:rsid w:val="00B273B1"/>
    <w:rsid w:val="00B35261"/>
    <w:rsid w:val="00B35CC1"/>
    <w:rsid w:val="00B36A36"/>
    <w:rsid w:val="00B4027B"/>
    <w:rsid w:val="00B42A2E"/>
    <w:rsid w:val="00B4397F"/>
    <w:rsid w:val="00B4582A"/>
    <w:rsid w:val="00B45D64"/>
    <w:rsid w:val="00B52DC2"/>
    <w:rsid w:val="00B533AB"/>
    <w:rsid w:val="00B539C1"/>
    <w:rsid w:val="00B63052"/>
    <w:rsid w:val="00B704B9"/>
    <w:rsid w:val="00B74BF4"/>
    <w:rsid w:val="00B7580A"/>
    <w:rsid w:val="00B802E1"/>
    <w:rsid w:val="00B82D13"/>
    <w:rsid w:val="00B8531B"/>
    <w:rsid w:val="00B87F39"/>
    <w:rsid w:val="00BA03C0"/>
    <w:rsid w:val="00BB3D35"/>
    <w:rsid w:val="00BB6650"/>
    <w:rsid w:val="00BB6688"/>
    <w:rsid w:val="00BC7F76"/>
    <w:rsid w:val="00BD3F76"/>
    <w:rsid w:val="00BD754D"/>
    <w:rsid w:val="00BE3B2A"/>
    <w:rsid w:val="00BF438F"/>
    <w:rsid w:val="00C01F35"/>
    <w:rsid w:val="00C17796"/>
    <w:rsid w:val="00C245E8"/>
    <w:rsid w:val="00C25B6E"/>
    <w:rsid w:val="00C36168"/>
    <w:rsid w:val="00C449A1"/>
    <w:rsid w:val="00C55B4C"/>
    <w:rsid w:val="00C56767"/>
    <w:rsid w:val="00C678E1"/>
    <w:rsid w:val="00C72064"/>
    <w:rsid w:val="00C83DF9"/>
    <w:rsid w:val="00C95576"/>
    <w:rsid w:val="00C96094"/>
    <w:rsid w:val="00CA248B"/>
    <w:rsid w:val="00CB095A"/>
    <w:rsid w:val="00CB32F4"/>
    <w:rsid w:val="00CB4ED0"/>
    <w:rsid w:val="00CB61FD"/>
    <w:rsid w:val="00CC2122"/>
    <w:rsid w:val="00CC64D6"/>
    <w:rsid w:val="00CD044A"/>
    <w:rsid w:val="00CD1E55"/>
    <w:rsid w:val="00CD2305"/>
    <w:rsid w:val="00CD517D"/>
    <w:rsid w:val="00CD762C"/>
    <w:rsid w:val="00CE4100"/>
    <w:rsid w:val="00CE57CB"/>
    <w:rsid w:val="00CF2B15"/>
    <w:rsid w:val="00CF47BF"/>
    <w:rsid w:val="00D31404"/>
    <w:rsid w:val="00D43903"/>
    <w:rsid w:val="00D46F84"/>
    <w:rsid w:val="00D53313"/>
    <w:rsid w:val="00D560F1"/>
    <w:rsid w:val="00D60A82"/>
    <w:rsid w:val="00D67AB1"/>
    <w:rsid w:val="00D73C14"/>
    <w:rsid w:val="00D769A0"/>
    <w:rsid w:val="00D773D1"/>
    <w:rsid w:val="00D8144B"/>
    <w:rsid w:val="00D92676"/>
    <w:rsid w:val="00DA0366"/>
    <w:rsid w:val="00DA078D"/>
    <w:rsid w:val="00DA3279"/>
    <w:rsid w:val="00DA62FB"/>
    <w:rsid w:val="00DB3C27"/>
    <w:rsid w:val="00DB5EF8"/>
    <w:rsid w:val="00DB7535"/>
    <w:rsid w:val="00DC7D74"/>
    <w:rsid w:val="00DD40EA"/>
    <w:rsid w:val="00DD4800"/>
    <w:rsid w:val="00DD5546"/>
    <w:rsid w:val="00DE6DA1"/>
    <w:rsid w:val="00DE7E20"/>
    <w:rsid w:val="00DF4657"/>
    <w:rsid w:val="00DF4D97"/>
    <w:rsid w:val="00DF6F8D"/>
    <w:rsid w:val="00E0758D"/>
    <w:rsid w:val="00E242FC"/>
    <w:rsid w:val="00E256F3"/>
    <w:rsid w:val="00E30D1F"/>
    <w:rsid w:val="00E3441B"/>
    <w:rsid w:val="00E43524"/>
    <w:rsid w:val="00E60612"/>
    <w:rsid w:val="00E63CDE"/>
    <w:rsid w:val="00E641C1"/>
    <w:rsid w:val="00E766C1"/>
    <w:rsid w:val="00E8357A"/>
    <w:rsid w:val="00E87C93"/>
    <w:rsid w:val="00E905FB"/>
    <w:rsid w:val="00E91438"/>
    <w:rsid w:val="00EA0A54"/>
    <w:rsid w:val="00EA6AA9"/>
    <w:rsid w:val="00EB7775"/>
    <w:rsid w:val="00EC32EA"/>
    <w:rsid w:val="00ED1DD9"/>
    <w:rsid w:val="00ED6643"/>
    <w:rsid w:val="00EE5210"/>
    <w:rsid w:val="00EF178D"/>
    <w:rsid w:val="00EF621E"/>
    <w:rsid w:val="00F004C6"/>
    <w:rsid w:val="00F02B61"/>
    <w:rsid w:val="00F02F5B"/>
    <w:rsid w:val="00F07DB0"/>
    <w:rsid w:val="00F131BB"/>
    <w:rsid w:val="00F16DFB"/>
    <w:rsid w:val="00F27BF6"/>
    <w:rsid w:val="00F3239B"/>
    <w:rsid w:val="00F36AE3"/>
    <w:rsid w:val="00F42917"/>
    <w:rsid w:val="00F46185"/>
    <w:rsid w:val="00F47660"/>
    <w:rsid w:val="00F47895"/>
    <w:rsid w:val="00F564BA"/>
    <w:rsid w:val="00F667AA"/>
    <w:rsid w:val="00F66D05"/>
    <w:rsid w:val="00F85B9A"/>
    <w:rsid w:val="00F90612"/>
    <w:rsid w:val="00F93988"/>
    <w:rsid w:val="00F94304"/>
    <w:rsid w:val="00F97875"/>
    <w:rsid w:val="00FA2C06"/>
    <w:rsid w:val="00FA53C4"/>
    <w:rsid w:val="00FA7CEA"/>
    <w:rsid w:val="00FB36D3"/>
    <w:rsid w:val="00FC0D14"/>
    <w:rsid w:val="00FC15AD"/>
    <w:rsid w:val="00FD5226"/>
    <w:rsid w:val="00FE4746"/>
    <w:rsid w:val="00FE5E77"/>
    <w:rsid w:val="00FF079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A685A"/>
  <w15:docId w15:val="{17D1E938-DA26-49C0-BE0E-50DBFAB0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63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Βασικό1"/>
    <w:uiPriority w:val="99"/>
    <w:rsid w:val="00C678E1"/>
    <w:pPr>
      <w:spacing w:after="200" w:line="276" w:lineRule="auto"/>
    </w:pPr>
    <w:rPr>
      <w:rFonts w:cs="Calibri"/>
      <w:sz w:val="22"/>
      <w:szCs w:val="22"/>
    </w:rPr>
  </w:style>
  <w:style w:type="paragraph" w:styleId="a4">
    <w:name w:val="Balloon Text"/>
    <w:basedOn w:val="a"/>
    <w:link w:val="Char"/>
    <w:uiPriority w:val="99"/>
    <w:semiHidden/>
    <w:rsid w:val="00C83DF9"/>
    <w:rPr>
      <w:rFonts w:ascii="Tahoma" w:hAnsi="Tahoma" w:cs="Tahoma"/>
      <w:sz w:val="16"/>
      <w:szCs w:val="16"/>
    </w:rPr>
  </w:style>
  <w:style w:type="character" w:customStyle="1" w:styleId="Char">
    <w:name w:val="Κείμενο πλαισίου Char"/>
    <w:basedOn w:val="a0"/>
    <w:link w:val="a4"/>
    <w:uiPriority w:val="99"/>
    <w:semiHidden/>
    <w:locked/>
    <w:rsid w:val="001F7D59"/>
    <w:rPr>
      <w:rFonts w:ascii="Times New Roman" w:hAnsi="Times New Roman" w:cs="Times New Roman"/>
      <w:sz w:val="2"/>
      <w:lang w:eastAsia="en-US"/>
    </w:rPr>
  </w:style>
  <w:style w:type="character" w:styleId="-">
    <w:name w:val="Hyperlink"/>
    <w:basedOn w:val="a0"/>
    <w:uiPriority w:val="99"/>
    <w:rsid w:val="008D31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8665">
      <w:marLeft w:val="0"/>
      <w:marRight w:val="0"/>
      <w:marTop w:val="0"/>
      <w:marBottom w:val="0"/>
      <w:divBdr>
        <w:top w:val="none" w:sz="0" w:space="0" w:color="auto"/>
        <w:left w:val="none" w:sz="0" w:space="0" w:color="auto"/>
        <w:bottom w:val="none" w:sz="0" w:space="0" w:color="auto"/>
        <w:right w:val="none" w:sz="0" w:space="0" w:color="auto"/>
      </w:divBdr>
    </w:div>
    <w:div w:id="757678666">
      <w:marLeft w:val="0"/>
      <w:marRight w:val="0"/>
      <w:marTop w:val="0"/>
      <w:marBottom w:val="0"/>
      <w:divBdr>
        <w:top w:val="none" w:sz="0" w:space="0" w:color="auto"/>
        <w:left w:val="none" w:sz="0" w:space="0" w:color="auto"/>
        <w:bottom w:val="none" w:sz="0" w:space="0" w:color="auto"/>
        <w:right w:val="none" w:sz="0" w:space="0" w:color="auto"/>
      </w:divBdr>
    </w:div>
    <w:div w:id="757678667">
      <w:marLeft w:val="0"/>
      <w:marRight w:val="0"/>
      <w:marTop w:val="0"/>
      <w:marBottom w:val="0"/>
      <w:divBdr>
        <w:top w:val="none" w:sz="0" w:space="0" w:color="auto"/>
        <w:left w:val="none" w:sz="0" w:space="0" w:color="auto"/>
        <w:bottom w:val="none" w:sz="0" w:space="0" w:color="auto"/>
        <w:right w:val="none" w:sz="0" w:space="0" w:color="auto"/>
      </w:divBdr>
    </w:div>
    <w:div w:id="757678668">
      <w:marLeft w:val="0"/>
      <w:marRight w:val="0"/>
      <w:marTop w:val="0"/>
      <w:marBottom w:val="0"/>
      <w:divBdr>
        <w:top w:val="none" w:sz="0" w:space="0" w:color="auto"/>
        <w:left w:val="none" w:sz="0" w:space="0" w:color="auto"/>
        <w:bottom w:val="none" w:sz="0" w:space="0" w:color="auto"/>
        <w:right w:val="none" w:sz="0" w:space="0" w:color="auto"/>
      </w:divBdr>
    </w:div>
    <w:div w:id="757678669">
      <w:marLeft w:val="0"/>
      <w:marRight w:val="0"/>
      <w:marTop w:val="0"/>
      <w:marBottom w:val="0"/>
      <w:divBdr>
        <w:top w:val="none" w:sz="0" w:space="0" w:color="auto"/>
        <w:left w:val="none" w:sz="0" w:space="0" w:color="auto"/>
        <w:bottom w:val="none" w:sz="0" w:space="0" w:color="auto"/>
        <w:right w:val="none" w:sz="0" w:space="0" w:color="auto"/>
      </w:divBdr>
    </w:div>
    <w:div w:id="757678670">
      <w:marLeft w:val="0"/>
      <w:marRight w:val="0"/>
      <w:marTop w:val="0"/>
      <w:marBottom w:val="0"/>
      <w:divBdr>
        <w:top w:val="none" w:sz="0" w:space="0" w:color="auto"/>
        <w:left w:val="none" w:sz="0" w:space="0" w:color="auto"/>
        <w:bottom w:val="none" w:sz="0" w:space="0" w:color="auto"/>
        <w:right w:val="none" w:sz="0" w:space="0" w:color="auto"/>
      </w:divBdr>
    </w:div>
    <w:div w:id="757678671">
      <w:marLeft w:val="0"/>
      <w:marRight w:val="0"/>
      <w:marTop w:val="0"/>
      <w:marBottom w:val="0"/>
      <w:divBdr>
        <w:top w:val="none" w:sz="0" w:space="0" w:color="auto"/>
        <w:left w:val="none" w:sz="0" w:space="0" w:color="auto"/>
        <w:bottom w:val="none" w:sz="0" w:space="0" w:color="auto"/>
        <w:right w:val="none" w:sz="0" w:space="0" w:color="auto"/>
      </w:divBdr>
    </w:div>
    <w:div w:id="757678672">
      <w:marLeft w:val="0"/>
      <w:marRight w:val="0"/>
      <w:marTop w:val="0"/>
      <w:marBottom w:val="0"/>
      <w:divBdr>
        <w:top w:val="none" w:sz="0" w:space="0" w:color="auto"/>
        <w:left w:val="none" w:sz="0" w:space="0" w:color="auto"/>
        <w:bottom w:val="none" w:sz="0" w:space="0" w:color="auto"/>
        <w:right w:val="none" w:sz="0" w:space="0" w:color="auto"/>
      </w:divBdr>
    </w:div>
    <w:div w:id="757678673">
      <w:marLeft w:val="0"/>
      <w:marRight w:val="0"/>
      <w:marTop w:val="0"/>
      <w:marBottom w:val="0"/>
      <w:divBdr>
        <w:top w:val="none" w:sz="0" w:space="0" w:color="auto"/>
        <w:left w:val="none" w:sz="0" w:space="0" w:color="auto"/>
        <w:bottom w:val="none" w:sz="0" w:space="0" w:color="auto"/>
        <w:right w:val="none" w:sz="0" w:space="0" w:color="auto"/>
      </w:divBdr>
    </w:div>
    <w:div w:id="757678674">
      <w:marLeft w:val="0"/>
      <w:marRight w:val="0"/>
      <w:marTop w:val="0"/>
      <w:marBottom w:val="0"/>
      <w:divBdr>
        <w:top w:val="none" w:sz="0" w:space="0" w:color="auto"/>
        <w:left w:val="none" w:sz="0" w:space="0" w:color="auto"/>
        <w:bottom w:val="none" w:sz="0" w:space="0" w:color="auto"/>
        <w:right w:val="none" w:sz="0" w:space="0" w:color="auto"/>
      </w:divBdr>
    </w:div>
    <w:div w:id="757678675">
      <w:marLeft w:val="0"/>
      <w:marRight w:val="0"/>
      <w:marTop w:val="0"/>
      <w:marBottom w:val="0"/>
      <w:divBdr>
        <w:top w:val="none" w:sz="0" w:space="0" w:color="auto"/>
        <w:left w:val="none" w:sz="0" w:space="0" w:color="auto"/>
        <w:bottom w:val="none" w:sz="0" w:space="0" w:color="auto"/>
        <w:right w:val="none" w:sz="0" w:space="0" w:color="auto"/>
      </w:divBdr>
    </w:div>
    <w:div w:id="757678676">
      <w:marLeft w:val="0"/>
      <w:marRight w:val="0"/>
      <w:marTop w:val="0"/>
      <w:marBottom w:val="0"/>
      <w:divBdr>
        <w:top w:val="none" w:sz="0" w:space="0" w:color="auto"/>
        <w:left w:val="none" w:sz="0" w:space="0" w:color="auto"/>
        <w:bottom w:val="none" w:sz="0" w:space="0" w:color="auto"/>
        <w:right w:val="none" w:sz="0" w:space="0" w:color="auto"/>
      </w:divBdr>
    </w:div>
    <w:div w:id="757678677">
      <w:marLeft w:val="0"/>
      <w:marRight w:val="0"/>
      <w:marTop w:val="0"/>
      <w:marBottom w:val="0"/>
      <w:divBdr>
        <w:top w:val="none" w:sz="0" w:space="0" w:color="auto"/>
        <w:left w:val="none" w:sz="0" w:space="0" w:color="auto"/>
        <w:bottom w:val="none" w:sz="0" w:space="0" w:color="auto"/>
        <w:right w:val="none" w:sz="0" w:space="0" w:color="auto"/>
      </w:divBdr>
    </w:div>
    <w:div w:id="757678678">
      <w:marLeft w:val="0"/>
      <w:marRight w:val="0"/>
      <w:marTop w:val="0"/>
      <w:marBottom w:val="0"/>
      <w:divBdr>
        <w:top w:val="none" w:sz="0" w:space="0" w:color="auto"/>
        <w:left w:val="none" w:sz="0" w:space="0" w:color="auto"/>
        <w:bottom w:val="none" w:sz="0" w:space="0" w:color="auto"/>
        <w:right w:val="none" w:sz="0" w:space="0" w:color="auto"/>
      </w:divBdr>
    </w:div>
    <w:div w:id="757678679">
      <w:marLeft w:val="0"/>
      <w:marRight w:val="0"/>
      <w:marTop w:val="0"/>
      <w:marBottom w:val="0"/>
      <w:divBdr>
        <w:top w:val="none" w:sz="0" w:space="0" w:color="auto"/>
        <w:left w:val="none" w:sz="0" w:space="0" w:color="auto"/>
        <w:bottom w:val="none" w:sz="0" w:space="0" w:color="auto"/>
        <w:right w:val="none" w:sz="0" w:space="0" w:color="auto"/>
      </w:divBdr>
    </w:div>
    <w:div w:id="757678680">
      <w:marLeft w:val="0"/>
      <w:marRight w:val="0"/>
      <w:marTop w:val="0"/>
      <w:marBottom w:val="0"/>
      <w:divBdr>
        <w:top w:val="none" w:sz="0" w:space="0" w:color="auto"/>
        <w:left w:val="none" w:sz="0" w:space="0" w:color="auto"/>
        <w:bottom w:val="none" w:sz="0" w:space="0" w:color="auto"/>
        <w:right w:val="none" w:sz="0" w:space="0" w:color="auto"/>
      </w:divBdr>
    </w:div>
    <w:div w:id="757678681">
      <w:marLeft w:val="0"/>
      <w:marRight w:val="0"/>
      <w:marTop w:val="0"/>
      <w:marBottom w:val="0"/>
      <w:divBdr>
        <w:top w:val="none" w:sz="0" w:space="0" w:color="auto"/>
        <w:left w:val="none" w:sz="0" w:space="0" w:color="auto"/>
        <w:bottom w:val="none" w:sz="0" w:space="0" w:color="auto"/>
        <w:right w:val="none" w:sz="0" w:space="0" w:color="auto"/>
      </w:divBdr>
    </w:div>
    <w:div w:id="757678682">
      <w:marLeft w:val="0"/>
      <w:marRight w:val="0"/>
      <w:marTop w:val="0"/>
      <w:marBottom w:val="0"/>
      <w:divBdr>
        <w:top w:val="none" w:sz="0" w:space="0" w:color="auto"/>
        <w:left w:val="none" w:sz="0" w:space="0" w:color="auto"/>
        <w:bottom w:val="none" w:sz="0" w:space="0" w:color="auto"/>
        <w:right w:val="none" w:sz="0" w:space="0" w:color="auto"/>
      </w:divBdr>
    </w:div>
    <w:div w:id="757678683">
      <w:marLeft w:val="0"/>
      <w:marRight w:val="0"/>
      <w:marTop w:val="0"/>
      <w:marBottom w:val="0"/>
      <w:divBdr>
        <w:top w:val="none" w:sz="0" w:space="0" w:color="auto"/>
        <w:left w:val="none" w:sz="0" w:space="0" w:color="auto"/>
        <w:bottom w:val="none" w:sz="0" w:space="0" w:color="auto"/>
        <w:right w:val="none" w:sz="0" w:space="0" w:color="auto"/>
      </w:divBdr>
    </w:div>
    <w:div w:id="757678684">
      <w:marLeft w:val="0"/>
      <w:marRight w:val="0"/>
      <w:marTop w:val="0"/>
      <w:marBottom w:val="0"/>
      <w:divBdr>
        <w:top w:val="none" w:sz="0" w:space="0" w:color="auto"/>
        <w:left w:val="none" w:sz="0" w:space="0" w:color="auto"/>
        <w:bottom w:val="none" w:sz="0" w:space="0" w:color="auto"/>
        <w:right w:val="none" w:sz="0" w:space="0" w:color="auto"/>
      </w:divBdr>
    </w:div>
    <w:div w:id="75767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3353</Words>
  <Characters>18108</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Nektarios Karakostas</dc:creator>
  <cp:keywords/>
  <dc:description/>
  <cp:lastModifiedBy>Katerina</cp:lastModifiedBy>
  <cp:revision>2</cp:revision>
  <dcterms:created xsi:type="dcterms:W3CDTF">2023-04-04T10:51:00Z</dcterms:created>
  <dcterms:modified xsi:type="dcterms:W3CDTF">2023-04-04T10:51:00Z</dcterms:modified>
</cp:coreProperties>
</file>