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3E1" w:rsidRPr="00A23CFB" w:rsidRDefault="002023E1" w:rsidP="002023E1">
      <w:pPr>
        <w:spacing w:after="0" w:line="240" w:lineRule="auto"/>
        <w:jc w:val="center"/>
        <w:rPr>
          <w:rFonts w:ascii="Times New Roman" w:eastAsia="Times New Roman" w:hAnsi="Times New Roman" w:cs="Times New Roman"/>
          <w:b/>
          <w:sz w:val="24"/>
          <w:szCs w:val="24"/>
          <w:lang w:eastAsia="el-GR"/>
        </w:rPr>
      </w:pPr>
      <w:r w:rsidRPr="00A23CFB">
        <w:rPr>
          <w:rFonts w:ascii="Times New Roman" w:eastAsia="Times New Roman" w:hAnsi="Times New Roman" w:cs="Times New Roman"/>
          <w:noProof/>
          <w:sz w:val="24"/>
          <w:szCs w:val="24"/>
          <w:lang w:eastAsia="el-GR"/>
        </w:rPr>
        <w:drawing>
          <wp:inline distT="0" distB="0" distL="0" distR="0" wp14:anchorId="307F0D2F" wp14:editId="15298A36">
            <wp:extent cx="1399540" cy="668020"/>
            <wp:effectExtent l="0" t="0" r="0" b="0"/>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9540" cy="668020"/>
                    </a:xfrm>
                    <a:prstGeom prst="rect">
                      <a:avLst/>
                    </a:prstGeom>
                    <a:noFill/>
                    <a:ln>
                      <a:noFill/>
                    </a:ln>
                  </pic:spPr>
                </pic:pic>
              </a:graphicData>
            </a:graphic>
          </wp:inline>
        </w:drawing>
      </w:r>
    </w:p>
    <w:p w:rsidR="002023E1" w:rsidRPr="00A23CFB" w:rsidRDefault="002023E1" w:rsidP="002023E1">
      <w:pPr>
        <w:spacing w:after="0" w:line="240" w:lineRule="auto"/>
        <w:jc w:val="center"/>
        <w:rPr>
          <w:rFonts w:ascii="Times New Roman" w:eastAsia="Times New Roman" w:hAnsi="Times New Roman" w:cs="Times New Roman"/>
          <w:sz w:val="24"/>
          <w:szCs w:val="24"/>
          <w:lang w:eastAsia="el-GR"/>
        </w:rPr>
      </w:pPr>
    </w:p>
    <w:p w:rsidR="002023E1" w:rsidRPr="00A23CFB" w:rsidRDefault="002023E1" w:rsidP="002023E1">
      <w:pPr>
        <w:spacing w:after="120" w:line="240" w:lineRule="auto"/>
        <w:jc w:val="center"/>
        <w:rPr>
          <w:rFonts w:ascii="Times New Roman" w:eastAsia="Times New Roman" w:hAnsi="Times New Roman" w:cs="Times New Roman"/>
          <w:b/>
          <w:lang w:eastAsia="el-GR"/>
        </w:rPr>
      </w:pPr>
      <w:r w:rsidRPr="00A23CFB">
        <w:rPr>
          <w:rFonts w:ascii="Times New Roman" w:eastAsia="Times New Roman" w:hAnsi="Times New Roman" w:cs="Times New Roman"/>
          <w:b/>
          <w:lang w:eastAsia="el-GR"/>
        </w:rPr>
        <w:t xml:space="preserve">ΙΛΧΑΝ ΑΧΜΕΤ </w:t>
      </w:r>
    </w:p>
    <w:p w:rsidR="002023E1" w:rsidRPr="00A23CFB" w:rsidRDefault="002023E1" w:rsidP="002023E1">
      <w:pPr>
        <w:jc w:val="center"/>
        <w:rPr>
          <w:rFonts w:ascii="Times New Roman" w:eastAsia="Times New Roman" w:hAnsi="Times New Roman" w:cs="Times New Roman"/>
          <w:lang w:eastAsia="el-GR"/>
        </w:rPr>
      </w:pPr>
      <w:r w:rsidRPr="00A23CFB">
        <w:rPr>
          <w:rFonts w:ascii="Times New Roman" w:eastAsia="Times New Roman" w:hAnsi="Times New Roman" w:cs="Times New Roman"/>
          <w:lang w:eastAsia="el-GR"/>
        </w:rPr>
        <w:t>Βουλευτής Ροδόπης-</w:t>
      </w:r>
    </w:p>
    <w:p w:rsidR="002023E1" w:rsidRPr="00A23CFB" w:rsidRDefault="002023E1" w:rsidP="002023E1">
      <w:pPr>
        <w:jc w:val="center"/>
        <w:rPr>
          <w:rFonts w:ascii="Times New Roman" w:eastAsiaTheme="minorEastAsia" w:hAnsi="Times New Roman" w:cs="Times New Roman"/>
          <w:sz w:val="28"/>
          <w:szCs w:val="28"/>
          <w:lang w:eastAsia="el-GR"/>
        </w:rPr>
      </w:pPr>
      <w:r>
        <w:rPr>
          <w:rFonts w:ascii="Times New Roman" w:eastAsiaTheme="minorEastAsia" w:hAnsi="Times New Roman" w:cs="Times New Roman"/>
          <w:sz w:val="28"/>
          <w:szCs w:val="28"/>
          <w:lang w:eastAsia="el-GR"/>
        </w:rPr>
        <w:t>Κίνημα Αλλαγής</w:t>
      </w:r>
    </w:p>
    <w:p w:rsidR="002023E1" w:rsidRDefault="002023E1" w:rsidP="002023E1">
      <w:pPr>
        <w:jc w:val="center"/>
        <w:rPr>
          <w:rFonts w:ascii="Times New Roman" w:eastAsia="Arial Unicode MS" w:hAnsi="Times New Roman" w:cs="Times New Roman"/>
          <w:b/>
          <w:sz w:val="24"/>
          <w:szCs w:val="24"/>
          <w:bdr w:val="nil"/>
        </w:rPr>
      </w:pPr>
    </w:p>
    <w:p w:rsidR="002023E1" w:rsidRPr="002023E1" w:rsidRDefault="002023E1" w:rsidP="002023E1">
      <w:pPr>
        <w:jc w:val="center"/>
        <w:rPr>
          <w:rFonts w:ascii="Times New Roman" w:eastAsia="Arial Unicode MS" w:hAnsi="Times New Roman" w:cs="Times New Roman"/>
          <w:b/>
          <w:sz w:val="24"/>
          <w:szCs w:val="24"/>
          <w:bdr w:val="nil"/>
        </w:rPr>
      </w:pPr>
      <w:r w:rsidRPr="002023E1">
        <w:rPr>
          <w:rFonts w:ascii="Times New Roman" w:eastAsia="Arial Unicode MS" w:hAnsi="Times New Roman" w:cs="Times New Roman"/>
          <w:b/>
          <w:sz w:val="24"/>
          <w:szCs w:val="24"/>
          <w:bdr w:val="nil"/>
        </w:rPr>
        <w:t>ΠΡΩΤΟΛΟΓΙΑΓΙΑ ΔΙΟΙΚΗΤΙΚΟ ΕΦΕΤΕΙΟ ΚΟΜΟΤΗΝΗΣ</w:t>
      </w:r>
    </w:p>
    <w:p w:rsidR="002023E1" w:rsidRDefault="002023E1" w:rsidP="002023E1">
      <w:pPr>
        <w:jc w:val="both"/>
        <w:rPr>
          <w:rFonts w:ascii="Times New Roman" w:eastAsia="Arial Unicode MS" w:hAnsi="Times New Roman" w:cs="Times New Roman"/>
          <w:sz w:val="24"/>
          <w:szCs w:val="24"/>
          <w:bdr w:val="nil"/>
        </w:rPr>
      </w:pPr>
    </w:p>
    <w:p w:rsidR="002023E1" w:rsidRDefault="002023E1" w:rsidP="002023E1">
      <w:pPr>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Κύριε Υπουργέ, </w:t>
      </w:r>
    </w:p>
    <w:p w:rsidR="002023E1" w:rsidRDefault="002023E1" w:rsidP="002023E1">
      <w:pPr>
        <w:spacing w:line="360" w:lineRule="auto"/>
        <w:jc w:val="both"/>
        <w:rPr>
          <w:rFonts w:ascii="Times New Roman" w:eastAsia="Arial Unicode MS" w:hAnsi="Times New Roman" w:cs="Times New Roman"/>
          <w:sz w:val="24"/>
          <w:szCs w:val="24"/>
          <w:bdr w:val="nil"/>
        </w:rPr>
      </w:pPr>
      <w:r w:rsidRPr="00522EF0">
        <w:rPr>
          <w:rFonts w:ascii="Times New Roman" w:eastAsia="Arial Unicode MS" w:hAnsi="Times New Roman" w:cs="Times New Roman"/>
          <w:sz w:val="24"/>
          <w:szCs w:val="24"/>
          <w:bdr w:val="nil"/>
        </w:rPr>
        <w:t>Δυνάμει της αρ. 99/24-3-2021 απόφασης συγκροτήθηκε Ομάδα Εργασίας με αντικείμενο:</w:t>
      </w:r>
      <w:r>
        <w:rPr>
          <w:rFonts w:ascii="Times New Roman" w:eastAsia="Arial Unicode MS" w:hAnsi="Times New Roman" w:cs="Times New Roman"/>
          <w:sz w:val="24"/>
          <w:szCs w:val="24"/>
          <w:bdr w:val="nil"/>
        </w:rPr>
        <w:t xml:space="preserve"> </w:t>
      </w:r>
      <w:r w:rsidRPr="00522EF0">
        <w:rPr>
          <w:rFonts w:ascii="Times New Roman" w:eastAsia="Arial Unicode MS" w:hAnsi="Times New Roman" w:cs="Times New Roman"/>
          <w:sz w:val="24"/>
          <w:szCs w:val="24"/>
          <w:bdr w:val="nil"/>
        </w:rPr>
        <w:t>α) την ορθολογική οργάνωση των δικαστικών περιφερειών της χώρας στον τομέα της διοικητικής</w:t>
      </w:r>
      <w:r>
        <w:rPr>
          <w:rFonts w:ascii="Times New Roman" w:eastAsia="Arial Unicode MS" w:hAnsi="Times New Roman" w:cs="Times New Roman"/>
          <w:sz w:val="24"/>
          <w:szCs w:val="24"/>
          <w:bdr w:val="nil"/>
        </w:rPr>
        <w:t xml:space="preserve"> </w:t>
      </w:r>
      <w:r w:rsidRPr="00522EF0">
        <w:rPr>
          <w:rFonts w:ascii="Times New Roman" w:eastAsia="Arial Unicode MS" w:hAnsi="Times New Roman" w:cs="Times New Roman"/>
          <w:sz w:val="24"/>
          <w:szCs w:val="24"/>
          <w:bdr w:val="nil"/>
        </w:rPr>
        <w:t>δικαιοσύνης και στο πλαίσιο αυτό την αναδιάρθρωση των δικαστικών δομών με βάση</w:t>
      </w:r>
      <w:r>
        <w:rPr>
          <w:rFonts w:ascii="Times New Roman" w:eastAsia="Arial Unicode MS" w:hAnsi="Times New Roman" w:cs="Times New Roman"/>
          <w:sz w:val="24"/>
          <w:szCs w:val="24"/>
          <w:bdr w:val="nil"/>
        </w:rPr>
        <w:t xml:space="preserve"> </w:t>
      </w:r>
      <w:r w:rsidRPr="00522EF0">
        <w:rPr>
          <w:rFonts w:ascii="Times New Roman" w:eastAsia="Arial Unicode MS" w:hAnsi="Times New Roman" w:cs="Times New Roman"/>
          <w:sz w:val="24"/>
          <w:szCs w:val="24"/>
          <w:bdr w:val="nil"/>
        </w:rPr>
        <w:t>αντικειμενικά κριτήρια, β) την ορθολογική ανακατανομή των αρμοδιοτήτων σε σχέση με την</w:t>
      </w:r>
      <w:r>
        <w:rPr>
          <w:rFonts w:ascii="Times New Roman" w:eastAsia="Arial Unicode MS" w:hAnsi="Times New Roman" w:cs="Times New Roman"/>
          <w:sz w:val="24"/>
          <w:szCs w:val="24"/>
          <w:bdr w:val="nil"/>
        </w:rPr>
        <w:t xml:space="preserve"> </w:t>
      </w:r>
      <w:r w:rsidRPr="00522EF0">
        <w:rPr>
          <w:rFonts w:ascii="Times New Roman" w:eastAsia="Arial Unicode MS" w:hAnsi="Times New Roman" w:cs="Times New Roman"/>
          <w:sz w:val="24"/>
          <w:szCs w:val="24"/>
          <w:bdr w:val="nil"/>
        </w:rPr>
        <w:t xml:space="preserve">χωροταξική αναδιάρθρωση και γ) την εσωτερική οργάνωση και διοίκηση των δικαστηρίων, </w:t>
      </w:r>
      <w:r>
        <w:rPr>
          <w:rFonts w:ascii="Times New Roman" w:eastAsia="Arial Unicode MS" w:hAnsi="Times New Roman" w:cs="Times New Roman"/>
          <w:sz w:val="24"/>
          <w:szCs w:val="24"/>
          <w:bdr w:val="nil"/>
        </w:rPr>
        <w:t xml:space="preserve">όπως </w:t>
      </w:r>
      <w:r w:rsidRPr="00522EF0">
        <w:rPr>
          <w:rFonts w:ascii="Times New Roman" w:eastAsia="Arial Unicode MS" w:hAnsi="Times New Roman" w:cs="Times New Roman"/>
          <w:sz w:val="24"/>
          <w:szCs w:val="24"/>
          <w:bdr w:val="nil"/>
        </w:rPr>
        <w:t>διαμορφώνονται μετά τη χωροταξική αναδιάρθρωση και την ανακατανομή αρμοδιοτήτων</w:t>
      </w:r>
      <w:r>
        <w:rPr>
          <w:rFonts w:ascii="Times New Roman" w:eastAsia="Arial Unicode MS" w:hAnsi="Times New Roman" w:cs="Times New Roman"/>
          <w:sz w:val="24"/>
          <w:szCs w:val="24"/>
          <w:bdr w:val="nil"/>
        </w:rPr>
        <w:t xml:space="preserve">. </w:t>
      </w:r>
    </w:p>
    <w:p w:rsidR="002023E1" w:rsidRDefault="002023E1" w:rsidP="002023E1">
      <w:pPr>
        <w:spacing w:line="36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Στο πλαίσιο αυτό, η πιθανότητα συγχώνευσης ή ενδεχόμενης κατάργησης των υφιστάμενων δικαστικών σχηματισμών στην Περιφέρεια Ανατολικής Μακεδονίας και Θράκης και ειδικότερα του Διοικητικού Εφετείου Κομοτηνής, συναντά την έντονη και καθολική αντίδραση του νομικού κόσμου με ομόφωνες αποφάσεις των δικηγορικών συλλόγων Ορεστιάδας, Αλεξανδρούπολης, Κομοτηνής, Ξάνθης, Καβάλας και Δράμας.     </w:t>
      </w:r>
    </w:p>
    <w:p w:rsidR="002023E1" w:rsidRDefault="002023E1" w:rsidP="002023E1">
      <w:pPr>
        <w:spacing w:line="360" w:lineRule="auto"/>
        <w:jc w:val="both"/>
        <w:rPr>
          <w:rFonts w:ascii="Times New Roman" w:eastAsia="Arial Unicode MS" w:hAnsi="Times New Roman" w:cs="Times New Roman"/>
          <w:sz w:val="24"/>
          <w:szCs w:val="24"/>
          <w:bdr w:val="nil"/>
        </w:rPr>
      </w:pPr>
      <w:r w:rsidRPr="000508F6">
        <w:rPr>
          <w:rFonts w:ascii="Times New Roman" w:eastAsia="Arial Unicode MS" w:hAnsi="Times New Roman" w:cs="Times New Roman"/>
          <w:sz w:val="24"/>
          <w:szCs w:val="24"/>
          <w:bdr w:val="nil"/>
        </w:rPr>
        <w:t>Γνωρίζ</w:t>
      </w:r>
      <w:r>
        <w:rPr>
          <w:rFonts w:ascii="Times New Roman" w:eastAsia="Arial Unicode MS" w:hAnsi="Times New Roman" w:cs="Times New Roman"/>
          <w:sz w:val="24"/>
          <w:szCs w:val="24"/>
          <w:bdr w:val="nil"/>
        </w:rPr>
        <w:t>ετε, εξάλλου,</w:t>
      </w:r>
      <w:r w:rsidRPr="000508F6">
        <w:rPr>
          <w:rFonts w:ascii="Times New Roman" w:eastAsia="Arial Unicode MS" w:hAnsi="Times New Roman" w:cs="Times New Roman"/>
          <w:sz w:val="24"/>
          <w:szCs w:val="24"/>
          <w:bdr w:val="nil"/>
        </w:rPr>
        <w:t xml:space="preserve"> πόσο σημαντική είναι η παρουσία όλων των βαθμίδων δικαστηρίων στην Κομοτηνή. Είναι αδιανόητο</w:t>
      </w:r>
      <w:r>
        <w:rPr>
          <w:rFonts w:ascii="Times New Roman" w:eastAsia="Arial Unicode MS" w:hAnsi="Times New Roman" w:cs="Times New Roman"/>
          <w:sz w:val="24"/>
          <w:szCs w:val="24"/>
          <w:bdr w:val="nil"/>
        </w:rPr>
        <w:t>, συνεπώς,</w:t>
      </w:r>
      <w:r w:rsidRPr="000508F6">
        <w:rPr>
          <w:rFonts w:ascii="Times New Roman" w:eastAsia="Arial Unicode MS" w:hAnsi="Times New Roman" w:cs="Times New Roman"/>
          <w:sz w:val="24"/>
          <w:szCs w:val="24"/>
          <w:bdr w:val="nil"/>
        </w:rPr>
        <w:t xml:space="preserve"> ν</w:t>
      </w:r>
      <w:r>
        <w:rPr>
          <w:rFonts w:ascii="Times New Roman" w:eastAsia="Arial Unicode MS" w:hAnsi="Times New Roman" w:cs="Times New Roman"/>
          <w:sz w:val="24"/>
          <w:szCs w:val="24"/>
          <w:bdr w:val="nil"/>
        </w:rPr>
        <w:t>α</w:t>
      </w:r>
      <w:r w:rsidRPr="000508F6">
        <w:rPr>
          <w:rFonts w:ascii="Times New Roman" w:eastAsia="Arial Unicode MS" w:hAnsi="Times New Roman" w:cs="Times New Roman"/>
          <w:sz w:val="24"/>
          <w:szCs w:val="24"/>
          <w:bdr w:val="nil"/>
        </w:rPr>
        <w:t xml:space="preserve"> αποδεχθούμε οποιαδήποτε απόφαση κατάργησης δικαστηρίου</w:t>
      </w:r>
      <w:r>
        <w:rPr>
          <w:rFonts w:ascii="Times New Roman" w:eastAsia="Arial Unicode MS" w:hAnsi="Times New Roman" w:cs="Times New Roman"/>
          <w:sz w:val="24"/>
          <w:szCs w:val="24"/>
          <w:bdr w:val="nil"/>
        </w:rPr>
        <w:t>, που θα αποτελούσε πλήγμα για την απονομή της δικαιοσύνης συνολικά για την Περιφέρεια Ανατολικής Μακεδονίας-Θράκης.</w:t>
      </w:r>
    </w:p>
    <w:p w:rsidR="002023E1" w:rsidRDefault="002023E1" w:rsidP="002023E1">
      <w:pPr>
        <w:spacing w:line="36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Κατόπιν αυτών </w:t>
      </w:r>
      <w:r>
        <w:rPr>
          <w:rFonts w:ascii="Times New Roman" w:eastAsia="Arial Unicode MS" w:hAnsi="Times New Roman" w:cs="Times New Roman"/>
          <w:sz w:val="24"/>
          <w:szCs w:val="24"/>
          <w:bdr w:val="nil"/>
        </w:rPr>
        <w:t>Σας Ρωτώ:</w:t>
      </w:r>
      <w:bookmarkStart w:id="0" w:name="_GoBack"/>
      <w:bookmarkEnd w:id="0"/>
    </w:p>
    <w:p w:rsidR="002023E1" w:rsidRDefault="002023E1" w:rsidP="002023E1">
      <w:pPr>
        <w:spacing w:line="36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lastRenderedPageBreak/>
        <w:t xml:space="preserve">Α) Πέρα από την σύσταση ειδικών ομάδων εργασίας και τα όποια πορίσματά τους, δεσμεύεστε ότι σε καμία περίπτωση δεν πρόκειται να συγχωνευτεί ή να καταργηθεί το Διοικητικό Εφετείο Κομοτηνής; </w:t>
      </w:r>
    </w:p>
    <w:p w:rsidR="002023E1" w:rsidRDefault="002023E1" w:rsidP="002023E1">
      <w:pPr>
        <w:spacing w:line="36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Β) Συμμερίζεσθε τις απόψεις των δικηγορικών συλλόγων της ΠΑΜ-Θ ότι πιθανή κατάργηση ή συγχώνευση του Διοικητικού Εφετείου Κομοτηνής θα δημιουργήσει νέα εμπόδια στην απονομή της δικαιοσύνης, σε μια Περιφέρεια που για μείζονες λόγους, δεν πρέπει και δεν μπορεί να στερηθεί των λειτουργιών του;        </w:t>
      </w:r>
    </w:p>
    <w:p w:rsidR="00F276DB" w:rsidRDefault="00F276DB"/>
    <w:sectPr w:rsidR="00F27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E1"/>
    <w:rsid w:val="002023E1"/>
    <w:rsid w:val="00323A29"/>
    <w:rsid w:val="005C0A0F"/>
    <w:rsid w:val="00F27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23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2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23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2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1537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2022-05-09T11:12:00Z</dcterms:created>
  <dcterms:modified xsi:type="dcterms:W3CDTF">2022-05-09T11:16:00Z</dcterms:modified>
</cp:coreProperties>
</file>