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8BBB" w14:textId="77777777" w:rsidR="00CF7DB7" w:rsidRPr="00DC04AE" w:rsidRDefault="00CF7DB7" w:rsidP="00CF7DB7">
      <w:pPr>
        <w:tabs>
          <w:tab w:val="left" w:pos="142"/>
        </w:tabs>
        <w:ind w:left="-851"/>
        <w:rPr>
          <w:rFonts w:ascii="Calibri" w:hAnsi="Calibri" w:cs="Calibri"/>
          <w:sz w:val="20"/>
          <w:szCs w:val="20"/>
          <w:u w:val="single"/>
          <w:lang w:val="el-GR"/>
        </w:rPr>
      </w:pPr>
      <w:r w:rsidRPr="00DC04AE">
        <w:rPr>
          <w:rFonts w:ascii="Calibri" w:hAnsi="Calibri" w:cs="Calibri"/>
          <w:sz w:val="20"/>
          <w:szCs w:val="20"/>
          <w:lang w:val="el-GR"/>
        </w:rPr>
        <w:t xml:space="preserve">                   </w:t>
      </w:r>
      <w:r w:rsidRPr="00DC04AE">
        <w:rPr>
          <w:rFonts w:ascii="Calibri" w:hAnsi="Calibri" w:cs="Calibri"/>
          <w:sz w:val="20"/>
          <w:szCs w:val="20"/>
          <w:u w:val="single"/>
          <w:lang w:val="el-GR"/>
        </w:rPr>
        <w:t>Πληροφορίες:</w:t>
      </w:r>
    </w:p>
    <w:p w14:paraId="2A515063" w14:textId="3B504C8C" w:rsidR="00CF7DB7" w:rsidRPr="005B058D" w:rsidRDefault="00CF7DB7" w:rsidP="00CF7DB7">
      <w:pPr>
        <w:tabs>
          <w:tab w:val="left" w:pos="142"/>
        </w:tabs>
        <w:ind w:left="-851"/>
        <w:rPr>
          <w:rFonts w:ascii="Calibri" w:hAnsi="Calibri" w:cs="Calibri"/>
          <w:sz w:val="22"/>
          <w:szCs w:val="22"/>
          <w:lang w:val="el-GR"/>
        </w:rPr>
      </w:pPr>
      <w:r w:rsidRPr="00DC04AE">
        <w:rPr>
          <w:rFonts w:ascii="Calibri" w:hAnsi="Calibri" w:cs="Calibri"/>
          <w:sz w:val="20"/>
          <w:szCs w:val="20"/>
          <w:lang w:val="el-GR"/>
        </w:rPr>
        <w:t xml:space="preserve">                   </w:t>
      </w:r>
      <w:r w:rsidR="002173A0">
        <w:rPr>
          <w:sz w:val="18"/>
          <w:szCs w:val="18"/>
          <w:lang w:val="el-GR" w:eastAsia="el-GR"/>
        </w:rPr>
        <w:t>Κατσαντάς Στάθης</w:t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>
        <w:rPr>
          <w:sz w:val="18"/>
          <w:szCs w:val="18"/>
          <w:lang w:val="el-GR" w:eastAsia="el-GR"/>
        </w:rPr>
        <w:tab/>
      </w:r>
      <w:r w:rsidR="005B058D" w:rsidRPr="00810C6A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Κομοτηνή,  </w:t>
      </w:r>
      <w:r w:rsidR="00D741A1">
        <w:rPr>
          <w:rFonts w:asciiTheme="minorHAnsi" w:hAnsiTheme="minorHAnsi" w:cstheme="minorHAnsi"/>
          <w:b/>
          <w:bCs/>
          <w:sz w:val="22"/>
          <w:szCs w:val="22"/>
          <w:lang w:val="el-GR"/>
        </w:rPr>
        <w:t>0</w:t>
      </w:r>
      <w:r w:rsidR="00F35357" w:rsidRPr="002109C6">
        <w:rPr>
          <w:rFonts w:asciiTheme="minorHAnsi" w:hAnsiTheme="minorHAnsi" w:cstheme="minorHAnsi"/>
          <w:b/>
          <w:bCs/>
          <w:sz w:val="22"/>
          <w:szCs w:val="22"/>
          <w:lang w:val="el-GR"/>
        </w:rPr>
        <w:t>5</w:t>
      </w:r>
      <w:r w:rsidR="00D741A1">
        <w:rPr>
          <w:rFonts w:asciiTheme="minorHAnsi" w:hAnsiTheme="minorHAnsi" w:cstheme="minorHAnsi"/>
          <w:b/>
          <w:bCs/>
          <w:sz w:val="22"/>
          <w:szCs w:val="22"/>
          <w:lang w:val="el-GR"/>
        </w:rPr>
        <w:t>/04/2022</w:t>
      </w:r>
    </w:p>
    <w:p w14:paraId="0C85BC70" w14:textId="28F0472D" w:rsidR="00CF7DB7" w:rsidRPr="00D741A1" w:rsidRDefault="00CF7DB7" w:rsidP="00CF7DB7">
      <w:pPr>
        <w:rPr>
          <w:sz w:val="18"/>
          <w:szCs w:val="18"/>
          <w:lang w:val="el-GR" w:eastAsia="el-GR"/>
        </w:rPr>
      </w:pPr>
      <w:proofErr w:type="spellStart"/>
      <w:r w:rsidRPr="00DC04AE">
        <w:rPr>
          <w:sz w:val="18"/>
          <w:szCs w:val="18"/>
          <w:lang w:val="el-GR" w:eastAsia="el-GR"/>
        </w:rPr>
        <w:t>τηλ</w:t>
      </w:r>
      <w:proofErr w:type="spellEnd"/>
      <w:r w:rsidRPr="008412EE">
        <w:rPr>
          <w:sz w:val="18"/>
          <w:szCs w:val="18"/>
          <w:lang w:val="el-GR" w:eastAsia="el-GR"/>
        </w:rPr>
        <w:t>: 25310 72388</w:t>
      </w:r>
    </w:p>
    <w:p w14:paraId="019AB955" w14:textId="5523147B" w:rsidR="00CF7DB7" w:rsidRPr="0017223D" w:rsidRDefault="00CF7DB7" w:rsidP="00CF7DB7">
      <w:pPr>
        <w:rPr>
          <w:sz w:val="18"/>
          <w:szCs w:val="18"/>
          <w:lang w:eastAsia="el-GR"/>
        </w:rPr>
      </w:pPr>
      <w:r w:rsidRPr="00DC04AE">
        <w:rPr>
          <w:sz w:val="18"/>
          <w:szCs w:val="18"/>
          <w:lang w:eastAsia="el-GR"/>
        </w:rPr>
        <w:t>email</w:t>
      </w:r>
      <w:r w:rsidRPr="0017223D">
        <w:rPr>
          <w:sz w:val="18"/>
          <w:szCs w:val="18"/>
          <w:lang w:eastAsia="el-GR"/>
        </w:rPr>
        <w:t xml:space="preserve">: </w:t>
      </w:r>
      <w:r w:rsidR="00CE0DE4">
        <w:rPr>
          <w:sz w:val="18"/>
          <w:szCs w:val="18"/>
          <w:lang w:eastAsia="el-GR"/>
        </w:rPr>
        <w:t>s</w:t>
      </w:r>
      <w:r w:rsidR="002173A0">
        <w:rPr>
          <w:sz w:val="18"/>
          <w:szCs w:val="18"/>
          <w:lang w:eastAsia="el-GR"/>
        </w:rPr>
        <w:t>katsantas</w:t>
      </w:r>
      <w:r w:rsidR="00CE0DE4" w:rsidRPr="0017223D">
        <w:rPr>
          <w:sz w:val="18"/>
          <w:szCs w:val="18"/>
          <w:lang w:eastAsia="el-GR"/>
        </w:rPr>
        <w:t>@</w:t>
      </w:r>
      <w:r w:rsidR="00CE0DE4">
        <w:rPr>
          <w:sz w:val="18"/>
          <w:szCs w:val="18"/>
          <w:lang w:eastAsia="el-GR"/>
        </w:rPr>
        <w:t>efepae</w:t>
      </w:r>
      <w:r w:rsidR="002173A0" w:rsidRPr="0017223D">
        <w:rPr>
          <w:sz w:val="18"/>
          <w:szCs w:val="18"/>
          <w:lang w:eastAsia="el-GR"/>
        </w:rPr>
        <w:t>.</w:t>
      </w:r>
      <w:r w:rsidR="002173A0">
        <w:rPr>
          <w:sz w:val="18"/>
          <w:szCs w:val="18"/>
          <w:lang w:eastAsia="el-GR"/>
        </w:rPr>
        <w:t>gr</w:t>
      </w:r>
    </w:p>
    <w:p w14:paraId="3F2D09AC" w14:textId="77777777" w:rsidR="00536FD4" w:rsidRPr="0017223D" w:rsidRDefault="00536FD4" w:rsidP="000C1B58">
      <w:pPr>
        <w:ind w:left="5529"/>
        <w:rPr>
          <w:rFonts w:asciiTheme="minorHAnsi" w:hAnsiTheme="minorHAnsi" w:cstheme="minorHAnsi"/>
          <w:sz w:val="22"/>
          <w:szCs w:val="22"/>
        </w:rPr>
      </w:pPr>
    </w:p>
    <w:p w14:paraId="1DA66394" w14:textId="77777777" w:rsidR="00CB1C96" w:rsidRPr="0017223D" w:rsidRDefault="00CB1C96" w:rsidP="00D2690C">
      <w:pPr>
        <w:rPr>
          <w:rFonts w:asciiTheme="minorHAnsi" w:hAnsiTheme="minorHAnsi" w:cstheme="minorHAnsi"/>
          <w:b/>
          <w:u w:val="single"/>
        </w:rPr>
      </w:pPr>
    </w:p>
    <w:p w14:paraId="33148B78" w14:textId="554A4784" w:rsidR="009A3A0D" w:rsidRPr="009E3074" w:rsidRDefault="00F6119D" w:rsidP="00F6119D">
      <w:pPr>
        <w:ind w:left="3600" w:firstLine="720"/>
        <w:rPr>
          <w:rFonts w:asciiTheme="minorHAnsi" w:hAnsiTheme="minorHAnsi" w:cstheme="minorHAnsi"/>
          <w:b/>
          <w:u w:val="single"/>
        </w:rPr>
      </w:pPr>
      <w:r w:rsidRPr="001B3541">
        <w:rPr>
          <w:rFonts w:asciiTheme="minorHAnsi" w:hAnsiTheme="minorHAnsi" w:cstheme="minorHAnsi"/>
          <w:b/>
          <w:u w:val="single"/>
          <w:lang w:val="el-GR"/>
        </w:rPr>
        <w:t>Δελτίο</w:t>
      </w:r>
      <w:r w:rsidRPr="009E3074">
        <w:rPr>
          <w:rFonts w:asciiTheme="minorHAnsi" w:hAnsiTheme="minorHAnsi" w:cstheme="minorHAnsi"/>
          <w:b/>
          <w:u w:val="single"/>
        </w:rPr>
        <w:t xml:space="preserve"> </w:t>
      </w:r>
      <w:r w:rsidRPr="001B3541">
        <w:rPr>
          <w:rFonts w:asciiTheme="minorHAnsi" w:hAnsiTheme="minorHAnsi" w:cstheme="minorHAnsi"/>
          <w:b/>
          <w:u w:val="single"/>
          <w:lang w:val="el-GR"/>
        </w:rPr>
        <w:t>Τύπου</w:t>
      </w:r>
    </w:p>
    <w:p w14:paraId="3E079C4F" w14:textId="21F2C541" w:rsidR="002F50BA" w:rsidRPr="009E3074" w:rsidRDefault="002F50BA" w:rsidP="002F50BA">
      <w:pPr>
        <w:rPr>
          <w:rFonts w:asciiTheme="minorHAnsi" w:hAnsiTheme="minorHAnsi" w:cstheme="minorHAnsi"/>
          <w:b/>
          <w:u w:val="single"/>
        </w:rPr>
      </w:pPr>
    </w:p>
    <w:p w14:paraId="79860815" w14:textId="58FFF1A6" w:rsidR="002F50BA" w:rsidRPr="000246B0" w:rsidRDefault="00D741A1" w:rsidP="000648A3">
      <w:pPr>
        <w:jc w:val="center"/>
        <w:rPr>
          <w:rFonts w:asciiTheme="minorHAnsi" w:hAnsiTheme="minorHAnsi" w:cstheme="minorHAnsi"/>
          <w:b/>
          <w:i/>
          <w:iCs/>
          <w:u w:val="single"/>
          <w:lang w:val="el-GR"/>
        </w:rPr>
      </w:pPr>
      <w:r>
        <w:rPr>
          <w:rFonts w:asciiTheme="minorHAnsi" w:hAnsiTheme="minorHAnsi" w:cstheme="minorHAnsi"/>
          <w:b/>
          <w:i/>
          <w:iCs/>
          <w:u w:val="single"/>
          <w:lang w:val="el-GR"/>
        </w:rPr>
        <w:t>Βαίνει επιτυχώς προς ολοκλήρωση η</w:t>
      </w:r>
      <w:r w:rsidR="006D115D">
        <w:rPr>
          <w:rFonts w:asciiTheme="minorHAnsi" w:hAnsiTheme="minorHAnsi" w:cstheme="minorHAnsi"/>
          <w:b/>
          <w:i/>
          <w:iCs/>
          <w:u w:val="single"/>
          <w:lang w:val="el-GR"/>
        </w:rPr>
        <w:t xml:space="preserve"> δράση </w:t>
      </w:r>
      <w:r w:rsidR="00DC273B">
        <w:rPr>
          <w:rFonts w:asciiTheme="minorHAnsi" w:hAnsiTheme="minorHAnsi" w:cstheme="minorHAnsi"/>
          <w:b/>
          <w:i/>
          <w:iCs/>
          <w:u w:val="single"/>
          <w:lang w:val="el-GR"/>
        </w:rPr>
        <w:t xml:space="preserve">ΑΜΘ </w:t>
      </w:r>
      <w:r w:rsidR="006D115D">
        <w:rPr>
          <w:rFonts w:asciiTheme="minorHAnsi" w:hAnsiTheme="minorHAnsi" w:cstheme="minorHAnsi"/>
          <w:b/>
          <w:i/>
          <w:iCs/>
          <w:u w:val="single"/>
          <w:lang w:val="el-GR"/>
        </w:rPr>
        <w:t>«</w:t>
      </w:r>
      <w:r w:rsidR="006D115D" w:rsidRPr="006D115D">
        <w:rPr>
          <w:rFonts w:asciiTheme="minorHAnsi" w:hAnsiTheme="minorHAnsi" w:cstheme="minorHAnsi"/>
          <w:b/>
          <w:i/>
          <w:iCs/>
          <w:u w:val="single"/>
          <w:lang w:val="el-GR"/>
        </w:rPr>
        <w:t>Ενίσχυση επιχειρήσεων για την αντιμετώπιση των συνεπειών της πανδημίας COVID-19».</w:t>
      </w:r>
    </w:p>
    <w:p w14:paraId="25F0F3AF" w14:textId="77777777" w:rsidR="002F50BA" w:rsidRDefault="002F50BA" w:rsidP="00132140">
      <w:pPr>
        <w:jc w:val="both"/>
        <w:rPr>
          <w:rFonts w:asciiTheme="minorHAnsi" w:hAnsiTheme="minorHAnsi" w:cstheme="minorHAnsi"/>
          <w:b/>
          <w:u w:val="single"/>
          <w:lang w:val="el-GR"/>
        </w:rPr>
      </w:pPr>
    </w:p>
    <w:p w14:paraId="21E6AB25" w14:textId="2940700D" w:rsidR="00531BA5" w:rsidRPr="000246B0" w:rsidRDefault="00531BA5" w:rsidP="00392C56">
      <w:pPr>
        <w:pStyle w:val="a5"/>
        <w:ind w:lef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8B487C4" w14:textId="479F1A71" w:rsidR="004A36D1" w:rsidRPr="00DC273B" w:rsidRDefault="004A36D1" w:rsidP="004A36D1">
      <w:pPr>
        <w:jc w:val="both"/>
        <w:rPr>
          <w:rFonts w:ascii="Calibri" w:eastAsia="Times New Roman" w:hAnsi="Calibri"/>
          <w:lang w:val="el-GR"/>
        </w:rPr>
      </w:pPr>
      <w:r w:rsidRPr="004A36D1">
        <w:rPr>
          <w:rFonts w:asciiTheme="minorHAnsi" w:hAnsiTheme="minorHAnsi" w:cstheme="minorHAnsi"/>
          <w:sz w:val="22"/>
          <w:szCs w:val="22"/>
          <w:lang w:val="el-GR"/>
        </w:rPr>
        <w:t xml:space="preserve">Στη </w:t>
      </w:r>
      <w:r w:rsidR="00531BA5" w:rsidRPr="004A36D1">
        <w:rPr>
          <w:rFonts w:asciiTheme="minorHAnsi" w:hAnsiTheme="minorHAnsi" w:cstheme="minorHAnsi"/>
          <w:sz w:val="22"/>
          <w:szCs w:val="22"/>
          <w:lang w:val="el-GR"/>
        </w:rPr>
        <w:t xml:space="preserve">Δράση ΑΜΘ 100 </w:t>
      </w:r>
      <w:r w:rsidR="00D3696D" w:rsidRPr="004A36D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D3696D" w:rsidRPr="00BA77A6">
        <w:rPr>
          <w:rFonts w:asciiTheme="minorHAnsi" w:hAnsiTheme="minorHAnsi" w:cstheme="minorHAnsi"/>
          <w:b/>
          <w:bCs/>
          <w:sz w:val="22"/>
          <w:szCs w:val="22"/>
          <w:lang w:val="el-GR"/>
        </w:rPr>
        <w:t>«</w:t>
      </w:r>
      <w:r w:rsidR="00DC273B" w:rsidRPr="00DC273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Ενίσχυση επιχειρήσεων για την αντιμετώπιση των συνεπειών της πανδημίας COVID-19 στην Ανατολική Μακεδονία και Θράκη» </w:t>
      </w:r>
      <w:r w:rsidR="00DC273B" w:rsidRPr="00DC273B">
        <w:rPr>
          <w:rFonts w:asciiTheme="minorHAnsi" w:hAnsiTheme="minorHAnsi" w:cstheme="minorHAnsi"/>
          <w:sz w:val="22"/>
          <w:szCs w:val="22"/>
          <w:lang w:val="el-GR"/>
        </w:rPr>
        <w:t>στο πλαίσιο του Επιχειρησιακού Προγράμματος «</w:t>
      </w:r>
      <w:r w:rsidR="00DC273B" w:rsidRPr="00EA3A5C">
        <w:rPr>
          <w:rFonts w:asciiTheme="minorHAnsi" w:hAnsiTheme="minorHAnsi" w:cstheme="minorHAnsi"/>
          <w:i/>
          <w:iCs/>
          <w:sz w:val="22"/>
          <w:szCs w:val="22"/>
          <w:lang w:val="el-GR"/>
        </w:rPr>
        <w:t>Ανατολική Μακεδονία και Θράκη» 2014-2020</w:t>
      </w:r>
      <w:r w:rsidR="00DC273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D741A1">
        <w:rPr>
          <w:rFonts w:ascii="Calibri" w:eastAsia="Times New Roman" w:hAnsi="Calibri"/>
          <w:lang w:val="el-GR"/>
        </w:rPr>
        <w:t>έχει προχωρήσει σημαντικά</w:t>
      </w:r>
      <w:r w:rsidRPr="004A36D1">
        <w:rPr>
          <w:rFonts w:ascii="Calibri" w:eastAsia="Times New Roman" w:hAnsi="Calibri"/>
          <w:lang w:val="el-GR"/>
        </w:rPr>
        <w:t xml:space="preserve"> η ολοκλήρωση ελέγχων αιτημάτων καταβολής</w:t>
      </w:r>
      <w:r w:rsidR="00DC273B" w:rsidRPr="00DC273B">
        <w:rPr>
          <w:rFonts w:ascii="Calibri" w:eastAsia="Times New Roman" w:hAnsi="Calibri"/>
          <w:lang w:val="el-GR"/>
        </w:rPr>
        <w:t xml:space="preserve"> </w:t>
      </w:r>
      <w:r w:rsidR="00DC273B">
        <w:rPr>
          <w:rFonts w:ascii="Calibri" w:eastAsia="Times New Roman" w:hAnsi="Calibri"/>
          <w:lang w:val="el-GR"/>
        </w:rPr>
        <w:t xml:space="preserve">και οι σχετικές πληρωμές. </w:t>
      </w:r>
    </w:p>
    <w:p w14:paraId="0BA4E868" w14:textId="0EB264AC" w:rsidR="00D741A1" w:rsidRPr="00544D13" w:rsidRDefault="00EA3A5C" w:rsidP="004A36D1">
      <w:pPr>
        <w:jc w:val="both"/>
        <w:rPr>
          <w:rFonts w:ascii="Calibri" w:eastAsia="Times New Roman" w:hAnsi="Calibri"/>
          <w:lang w:val="el-GR"/>
        </w:rPr>
      </w:pPr>
      <w:r>
        <w:rPr>
          <w:rFonts w:ascii="Calibri" w:eastAsia="Times New Roman" w:hAnsi="Calibri"/>
          <w:lang w:val="el-GR"/>
        </w:rPr>
        <w:t>Η</w:t>
      </w:r>
      <w:r w:rsidR="00D741A1">
        <w:rPr>
          <w:rFonts w:ascii="Calibri" w:eastAsia="Times New Roman" w:hAnsi="Calibri"/>
          <w:lang w:val="el-GR"/>
        </w:rPr>
        <w:t xml:space="preserve"> δράση </w:t>
      </w:r>
      <w:r w:rsidR="00F93DA7">
        <w:rPr>
          <w:rFonts w:ascii="Calibri" w:eastAsia="Times New Roman" w:hAnsi="Calibri"/>
          <w:lang w:val="el-GR"/>
        </w:rPr>
        <w:t xml:space="preserve">βαδίζει προς ολοκλήρωση καθώς έχει ελεγχθεί </w:t>
      </w:r>
      <w:r>
        <w:rPr>
          <w:rFonts w:ascii="Calibri" w:eastAsia="Times New Roman" w:hAnsi="Calibri"/>
          <w:lang w:val="el-GR"/>
        </w:rPr>
        <w:t xml:space="preserve">το μεγαλύτερο </w:t>
      </w:r>
      <w:r w:rsidR="00E67CA7">
        <w:rPr>
          <w:rFonts w:ascii="Calibri" w:eastAsia="Times New Roman" w:hAnsi="Calibri"/>
          <w:lang w:val="el-GR"/>
        </w:rPr>
        <w:t>ποσοστό</w:t>
      </w:r>
      <w:r w:rsidR="00F93DA7">
        <w:rPr>
          <w:rFonts w:ascii="Calibri" w:eastAsia="Times New Roman" w:hAnsi="Calibri"/>
          <w:lang w:val="el-GR"/>
        </w:rPr>
        <w:t xml:space="preserve"> των </w:t>
      </w:r>
      <w:r w:rsidR="00001688">
        <w:rPr>
          <w:rFonts w:ascii="Calibri" w:eastAsia="Times New Roman" w:hAnsi="Calibri"/>
          <w:lang w:val="el-GR"/>
        </w:rPr>
        <w:t xml:space="preserve">υποβληθέντων </w:t>
      </w:r>
      <w:r w:rsidR="00F93DA7">
        <w:rPr>
          <w:rFonts w:ascii="Calibri" w:eastAsia="Times New Roman" w:hAnsi="Calibri"/>
          <w:lang w:val="el-GR"/>
        </w:rPr>
        <w:t xml:space="preserve">αιτημάτων καταβολής και έχει καταβληθεί </w:t>
      </w:r>
      <w:r w:rsidR="00001688">
        <w:rPr>
          <w:rFonts w:ascii="Calibri" w:eastAsia="Times New Roman" w:hAnsi="Calibri"/>
          <w:lang w:val="el-GR"/>
        </w:rPr>
        <w:t xml:space="preserve">η </w:t>
      </w:r>
      <w:r w:rsidR="00F93DA7">
        <w:rPr>
          <w:rFonts w:ascii="Calibri" w:eastAsia="Times New Roman" w:hAnsi="Calibri"/>
          <w:lang w:val="el-GR"/>
        </w:rPr>
        <w:t xml:space="preserve">ενίσχυση στη </w:t>
      </w:r>
      <w:r w:rsidR="00001688">
        <w:rPr>
          <w:rFonts w:ascii="Calibri" w:eastAsia="Times New Roman" w:hAnsi="Calibri"/>
          <w:lang w:val="el-GR"/>
        </w:rPr>
        <w:t>συντριπτική</w:t>
      </w:r>
      <w:r w:rsidR="00F93DA7">
        <w:rPr>
          <w:rFonts w:ascii="Calibri" w:eastAsia="Times New Roman" w:hAnsi="Calibri"/>
          <w:lang w:val="el-GR"/>
        </w:rPr>
        <w:t xml:space="preserve"> πλειοψηφία των δικαιούχων. </w:t>
      </w:r>
    </w:p>
    <w:p w14:paraId="7954BF1A" w14:textId="125B4F23" w:rsidR="006D115D" w:rsidRPr="00F93DA7" w:rsidRDefault="00D3696D" w:rsidP="00F93DA7">
      <w:pPr>
        <w:ind w:left="-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0246B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14:paraId="32739F35" w14:textId="2F9B6B5C" w:rsidR="00010D7B" w:rsidRDefault="004A36D1" w:rsidP="00010D7B">
      <w:pPr>
        <w:pStyle w:val="a5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lang w:val="el-GR"/>
        </w:rPr>
      </w:pPr>
      <w:r w:rsidRPr="004D17E7">
        <w:rPr>
          <w:rFonts w:ascii="Calibri" w:eastAsia="Times New Roman" w:hAnsi="Calibri"/>
          <w:lang w:val="el-GR"/>
        </w:rPr>
        <w:t>Το σ</w:t>
      </w:r>
      <w:r w:rsidR="006D115D" w:rsidRPr="004D17E7">
        <w:rPr>
          <w:rFonts w:ascii="Calibri" w:eastAsia="Times New Roman" w:hAnsi="Calibri"/>
          <w:lang w:val="el-GR"/>
        </w:rPr>
        <w:t xml:space="preserve">ύνολο </w:t>
      </w:r>
      <w:r w:rsidR="00343E67">
        <w:rPr>
          <w:rFonts w:ascii="Calibri" w:eastAsia="Times New Roman" w:hAnsi="Calibri"/>
          <w:lang w:val="el-GR"/>
        </w:rPr>
        <w:t xml:space="preserve">των </w:t>
      </w:r>
      <w:r w:rsidR="003912F1" w:rsidRPr="004D17E7">
        <w:rPr>
          <w:rFonts w:ascii="Calibri" w:eastAsia="Times New Roman" w:hAnsi="Calibri"/>
          <w:lang w:val="el-GR"/>
        </w:rPr>
        <w:t xml:space="preserve">ολοκληρωμένων ελέγχων </w:t>
      </w:r>
      <w:r w:rsidR="006D115D" w:rsidRPr="004D17E7">
        <w:rPr>
          <w:rFonts w:ascii="Calibri" w:eastAsia="Times New Roman" w:hAnsi="Calibri"/>
          <w:u w:val="single"/>
          <w:lang w:val="el-GR"/>
        </w:rPr>
        <w:t xml:space="preserve">έως </w:t>
      </w:r>
      <w:r w:rsidR="00E55E2B" w:rsidRPr="00E55E2B">
        <w:rPr>
          <w:rFonts w:asciiTheme="minorHAnsi" w:eastAsia="Times New Roman" w:hAnsiTheme="minorHAnsi" w:cstheme="minorHAnsi"/>
          <w:u w:val="single"/>
          <w:lang w:val="el-GR"/>
        </w:rPr>
        <w:t>01/04/</w:t>
      </w:r>
      <w:r w:rsidRPr="00AF3A7A">
        <w:rPr>
          <w:rFonts w:asciiTheme="minorHAnsi" w:eastAsia="Times New Roman" w:hAnsiTheme="minorHAnsi" w:cstheme="minorHAnsi"/>
          <w:u w:val="single"/>
          <w:lang w:val="el-GR"/>
        </w:rPr>
        <w:t>2022</w:t>
      </w:r>
      <w:r w:rsidR="006D115D" w:rsidRPr="00AF3A7A">
        <w:rPr>
          <w:rFonts w:asciiTheme="minorHAnsi" w:eastAsia="Times New Roman" w:hAnsiTheme="minorHAnsi" w:cstheme="minorHAnsi"/>
          <w:lang w:val="el-GR"/>
        </w:rPr>
        <w:t xml:space="preserve"> </w:t>
      </w:r>
      <w:r w:rsidRPr="00E55E2B">
        <w:rPr>
          <w:rFonts w:asciiTheme="minorHAnsi" w:eastAsia="Times New Roman" w:hAnsiTheme="minorHAnsi" w:cstheme="minorHAnsi"/>
          <w:lang w:val="el-GR"/>
        </w:rPr>
        <w:t>αφορά</w:t>
      </w:r>
      <w:r w:rsidR="006D115D" w:rsidRPr="00E55E2B">
        <w:rPr>
          <w:rFonts w:asciiTheme="minorHAnsi" w:eastAsia="Times New Roman" w:hAnsiTheme="minorHAnsi" w:cstheme="minorHAnsi"/>
          <w:lang w:val="el-GR"/>
        </w:rPr>
        <w:t xml:space="preserve"> </w:t>
      </w:r>
      <w:r w:rsidR="00AF3A7A" w:rsidRPr="00E55E2B">
        <w:rPr>
          <w:rFonts w:asciiTheme="minorHAnsi" w:eastAsia="Times New Roman" w:hAnsiTheme="minorHAnsi" w:cstheme="minorHAnsi"/>
          <w:b/>
          <w:bCs/>
          <w:lang w:val="el-GR"/>
        </w:rPr>
        <w:t>20.</w:t>
      </w:r>
      <w:r w:rsidR="00E55E2B" w:rsidRPr="00E55E2B">
        <w:rPr>
          <w:rFonts w:asciiTheme="minorHAnsi" w:eastAsia="Times New Roman" w:hAnsiTheme="minorHAnsi" w:cstheme="minorHAnsi"/>
          <w:b/>
          <w:bCs/>
          <w:lang w:val="el-GR"/>
        </w:rPr>
        <w:t>950</w:t>
      </w:r>
      <w:r w:rsidR="006D115D" w:rsidRPr="00E55E2B">
        <w:rPr>
          <w:rFonts w:asciiTheme="minorHAnsi" w:eastAsia="Times New Roman" w:hAnsiTheme="minorHAnsi" w:cstheme="minorHAnsi"/>
          <w:lang w:val="el-GR"/>
        </w:rPr>
        <w:t xml:space="preserve"> δικαιούχου</w:t>
      </w:r>
      <w:r w:rsidR="003912F1" w:rsidRPr="00E55E2B">
        <w:rPr>
          <w:rFonts w:asciiTheme="minorHAnsi" w:eastAsia="Times New Roman" w:hAnsiTheme="minorHAnsi" w:cstheme="minorHAnsi"/>
          <w:lang w:val="el-GR"/>
        </w:rPr>
        <w:t>ς</w:t>
      </w:r>
      <w:r w:rsidR="006D115D" w:rsidRPr="00BB56E9">
        <w:rPr>
          <w:rFonts w:asciiTheme="minorHAnsi" w:eastAsia="Times New Roman" w:hAnsiTheme="minorHAnsi" w:cstheme="minorHAnsi"/>
          <w:lang w:val="el-GR"/>
        </w:rPr>
        <w:t xml:space="preserve"> </w:t>
      </w:r>
      <w:r w:rsidR="003912F1" w:rsidRPr="00BB56E9">
        <w:rPr>
          <w:rFonts w:asciiTheme="minorHAnsi" w:eastAsia="Times New Roman" w:hAnsiTheme="minorHAnsi" w:cstheme="minorHAnsi"/>
          <w:lang w:val="el-GR"/>
        </w:rPr>
        <w:t>ενώ η πιστοποιημένη Δημόσια Δαπάνη</w:t>
      </w:r>
      <w:r w:rsidR="00001688" w:rsidRPr="00BB56E9">
        <w:rPr>
          <w:rFonts w:asciiTheme="minorHAnsi" w:eastAsia="Times New Roman" w:hAnsiTheme="minorHAnsi" w:cstheme="minorHAnsi"/>
          <w:lang w:val="el-GR"/>
        </w:rPr>
        <w:t xml:space="preserve"> (ΔΔ)</w:t>
      </w:r>
      <w:r w:rsidR="003912F1" w:rsidRPr="00BB56E9">
        <w:rPr>
          <w:rFonts w:asciiTheme="minorHAnsi" w:eastAsia="Times New Roman" w:hAnsiTheme="minorHAnsi" w:cstheme="minorHAnsi"/>
          <w:lang w:val="el-GR"/>
        </w:rPr>
        <w:t xml:space="preserve"> είναι</w:t>
      </w:r>
      <w:r w:rsidR="00DC273B" w:rsidRPr="00BB56E9">
        <w:rPr>
          <w:rFonts w:asciiTheme="minorHAnsi" w:eastAsia="Times New Roman" w:hAnsiTheme="minorHAnsi" w:cstheme="minorHAnsi"/>
          <w:lang w:val="el-GR"/>
        </w:rPr>
        <w:t xml:space="preserve"> </w:t>
      </w:r>
      <w:r w:rsidR="00AF3A7A" w:rsidRPr="00BB56E9">
        <w:rPr>
          <w:rFonts w:asciiTheme="minorHAnsi" w:hAnsiTheme="minorHAnsi" w:cstheme="minorHAnsi"/>
          <w:b/>
          <w:bCs/>
          <w:color w:val="333333"/>
          <w:lang w:val="el-GR" w:eastAsia="el-GR"/>
        </w:rPr>
        <w:t>52</w:t>
      </w:r>
      <w:r w:rsidR="00B26A06" w:rsidRPr="00BB56E9">
        <w:rPr>
          <w:rFonts w:asciiTheme="minorHAnsi" w:hAnsiTheme="minorHAnsi" w:cstheme="minorHAnsi"/>
          <w:b/>
          <w:bCs/>
          <w:color w:val="333333"/>
          <w:lang w:val="el-GR" w:eastAsia="el-GR"/>
        </w:rPr>
        <w:t>,</w:t>
      </w:r>
      <w:r w:rsidR="00AF3A7A" w:rsidRPr="00BB56E9">
        <w:rPr>
          <w:rFonts w:asciiTheme="minorHAnsi" w:hAnsiTheme="minorHAnsi" w:cstheme="minorHAnsi"/>
          <w:b/>
          <w:bCs/>
          <w:color w:val="333333"/>
          <w:lang w:val="el-GR" w:eastAsia="el-GR"/>
        </w:rPr>
        <w:t xml:space="preserve">68 εκατ. </w:t>
      </w:r>
      <w:r w:rsidR="00A21ECE" w:rsidRPr="00BB56E9">
        <w:rPr>
          <w:rFonts w:asciiTheme="minorHAnsi" w:hAnsiTheme="minorHAnsi" w:cstheme="minorHAnsi"/>
          <w:b/>
          <w:bCs/>
          <w:color w:val="333333"/>
          <w:lang w:val="el-GR" w:eastAsia="el-GR"/>
        </w:rPr>
        <w:t>€</w:t>
      </w:r>
      <w:r w:rsidR="003912F1" w:rsidRPr="00BB56E9">
        <w:rPr>
          <w:rFonts w:asciiTheme="minorHAnsi" w:eastAsia="Times New Roman" w:hAnsiTheme="minorHAnsi" w:cstheme="minorHAnsi"/>
          <w:lang w:val="el-GR"/>
        </w:rPr>
        <w:t xml:space="preserve">, </w:t>
      </w:r>
      <w:r w:rsidR="00A21ECE" w:rsidRPr="00BB56E9">
        <w:rPr>
          <w:rFonts w:asciiTheme="minorHAnsi" w:eastAsia="Times New Roman" w:hAnsiTheme="minorHAnsi" w:cstheme="minorHAnsi"/>
          <w:lang w:val="el-GR"/>
        </w:rPr>
        <w:t>νούμερ</w:t>
      </w:r>
      <w:r w:rsidR="00F93DA7" w:rsidRPr="00BB56E9">
        <w:rPr>
          <w:rFonts w:asciiTheme="minorHAnsi" w:eastAsia="Times New Roman" w:hAnsiTheme="minorHAnsi" w:cstheme="minorHAnsi"/>
          <w:lang w:val="el-GR"/>
        </w:rPr>
        <w:t xml:space="preserve">ο </w:t>
      </w:r>
      <w:r w:rsidR="003912F1" w:rsidRPr="00BB56E9">
        <w:rPr>
          <w:rFonts w:asciiTheme="minorHAnsi" w:eastAsia="Times New Roman" w:hAnsiTheme="minorHAnsi" w:cstheme="minorHAnsi"/>
          <w:lang w:val="el-GR"/>
        </w:rPr>
        <w:t xml:space="preserve">που </w:t>
      </w:r>
      <w:r w:rsidR="00F93DA7" w:rsidRPr="00BB56E9">
        <w:rPr>
          <w:rFonts w:asciiTheme="minorHAnsi" w:eastAsia="Times New Roman" w:hAnsiTheme="minorHAnsi" w:cstheme="minorHAnsi"/>
          <w:lang w:val="el-GR"/>
        </w:rPr>
        <w:t>έως την ολοκλήρωση</w:t>
      </w:r>
      <w:r w:rsidR="00F93DA7" w:rsidRPr="00AF3A7A">
        <w:rPr>
          <w:rFonts w:asciiTheme="minorHAnsi" w:eastAsia="Times New Roman" w:hAnsiTheme="minorHAnsi" w:cstheme="minorHAnsi"/>
          <w:lang w:val="el-GR"/>
        </w:rPr>
        <w:t xml:space="preserve"> της δράσης θα</w:t>
      </w:r>
      <w:r w:rsidR="003912F1" w:rsidRPr="00AF3A7A">
        <w:rPr>
          <w:rFonts w:asciiTheme="minorHAnsi" w:eastAsia="Times New Roman" w:hAnsiTheme="minorHAnsi" w:cstheme="minorHAnsi"/>
          <w:lang w:val="el-GR"/>
        </w:rPr>
        <w:t xml:space="preserve"> </w:t>
      </w:r>
      <w:r w:rsidR="00F93DA7" w:rsidRPr="00AF3A7A">
        <w:rPr>
          <w:rFonts w:asciiTheme="minorHAnsi" w:eastAsia="Times New Roman" w:hAnsiTheme="minorHAnsi" w:cstheme="minorHAnsi"/>
          <w:lang w:val="el-GR"/>
        </w:rPr>
        <w:t>μεταβάλλεται</w:t>
      </w:r>
      <w:r w:rsidR="003912F1" w:rsidRPr="00AF3A7A">
        <w:rPr>
          <w:rFonts w:asciiTheme="minorHAnsi" w:eastAsia="Times New Roman" w:hAnsiTheme="minorHAnsi" w:cstheme="minorHAnsi"/>
          <w:lang w:val="el-GR"/>
        </w:rPr>
        <w:t xml:space="preserve"> αυξητικά. </w:t>
      </w:r>
    </w:p>
    <w:p w14:paraId="34C32BF9" w14:textId="7A58FABD" w:rsidR="00AF3A7A" w:rsidRDefault="00AF3A7A" w:rsidP="00010D7B">
      <w:pPr>
        <w:pStyle w:val="a5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lang w:val="el-GR"/>
        </w:rPr>
      </w:pPr>
      <w:r>
        <w:rPr>
          <w:rFonts w:asciiTheme="minorHAnsi" w:eastAsia="Times New Roman" w:hAnsiTheme="minorHAnsi" w:cstheme="minorHAnsi"/>
          <w:lang w:val="el-GR"/>
        </w:rPr>
        <w:t xml:space="preserve">Έχει ολοκληρωθεί η πληρωμή για </w:t>
      </w:r>
      <w:r w:rsidRPr="00AF3A7A">
        <w:rPr>
          <w:rFonts w:asciiTheme="minorHAnsi" w:eastAsia="Times New Roman" w:hAnsiTheme="minorHAnsi" w:cstheme="minorHAnsi"/>
          <w:b/>
          <w:bCs/>
          <w:lang w:val="el-GR"/>
        </w:rPr>
        <w:t>19.197</w:t>
      </w:r>
      <w:r>
        <w:rPr>
          <w:rFonts w:asciiTheme="minorHAnsi" w:eastAsia="Times New Roman" w:hAnsiTheme="minorHAnsi" w:cstheme="minorHAnsi"/>
          <w:lang w:val="el-GR"/>
        </w:rPr>
        <w:t xml:space="preserve"> επιχειρήσεις με ΔΔ </w:t>
      </w:r>
      <w:r w:rsidRPr="00AF3A7A">
        <w:rPr>
          <w:rFonts w:asciiTheme="minorHAnsi" w:eastAsia="Times New Roman" w:hAnsiTheme="minorHAnsi" w:cstheme="minorHAnsi"/>
          <w:b/>
          <w:bCs/>
          <w:lang w:val="el-GR"/>
        </w:rPr>
        <w:t>49,97</w:t>
      </w:r>
      <w:r>
        <w:rPr>
          <w:rFonts w:asciiTheme="minorHAnsi" w:eastAsia="Times New Roman" w:hAnsiTheme="minorHAnsi" w:cstheme="minorHAnsi"/>
          <w:lang w:val="el-GR"/>
        </w:rPr>
        <w:t xml:space="preserve"> εκατ.€. </w:t>
      </w:r>
    </w:p>
    <w:p w14:paraId="42981E58" w14:textId="648B111D" w:rsidR="00AF3A7A" w:rsidRPr="00AF3A7A" w:rsidRDefault="00D2690C" w:rsidP="00010D7B">
      <w:pPr>
        <w:pStyle w:val="a5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lang w:val="el-GR"/>
        </w:rPr>
      </w:pPr>
      <w:r>
        <w:rPr>
          <w:rFonts w:asciiTheme="minorHAnsi" w:eastAsia="Times New Roman" w:hAnsiTheme="minorHAnsi" w:cstheme="minorHAnsi"/>
          <w:lang w:val="el-GR"/>
        </w:rPr>
        <w:t xml:space="preserve">Για </w:t>
      </w:r>
      <w:r w:rsidR="00DD6113">
        <w:rPr>
          <w:rFonts w:asciiTheme="minorHAnsi" w:eastAsia="Times New Roman" w:hAnsiTheme="minorHAnsi" w:cstheme="minorHAnsi"/>
          <w:lang w:val="el-GR"/>
        </w:rPr>
        <w:t xml:space="preserve">επιπλέον </w:t>
      </w:r>
      <w:r w:rsidR="004E0C7F">
        <w:rPr>
          <w:rFonts w:asciiTheme="minorHAnsi" w:eastAsia="Times New Roman" w:hAnsiTheme="minorHAnsi" w:cstheme="minorHAnsi"/>
          <w:lang w:val="el-GR"/>
        </w:rPr>
        <w:t>1.324</w:t>
      </w:r>
      <w:r>
        <w:rPr>
          <w:rFonts w:asciiTheme="minorHAnsi" w:eastAsia="Times New Roman" w:hAnsiTheme="minorHAnsi" w:cstheme="minorHAnsi"/>
          <w:lang w:val="el-GR"/>
        </w:rPr>
        <w:t xml:space="preserve"> αιτήματα </w:t>
      </w:r>
      <w:r w:rsidR="004B16C0">
        <w:rPr>
          <w:rFonts w:asciiTheme="minorHAnsi" w:eastAsia="Times New Roman" w:hAnsiTheme="minorHAnsi" w:cstheme="minorHAnsi"/>
          <w:lang w:val="el-GR"/>
        </w:rPr>
        <w:t xml:space="preserve">με ΔΔ </w:t>
      </w:r>
      <w:r w:rsidR="004E0C7F">
        <w:rPr>
          <w:rFonts w:asciiTheme="minorHAnsi" w:eastAsia="Times New Roman" w:hAnsiTheme="minorHAnsi" w:cstheme="minorHAnsi"/>
          <w:b/>
          <w:bCs/>
          <w:lang w:val="el-GR"/>
        </w:rPr>
        <w:t>3,38</w:t>
      </w:r>
      <w:r w:rsidR="004B16C0">
        <w:rPr>
          <w:rFonts w:asciiTheme="minorHAnsi" w:eastAsia="Times New Roman" w:hAnsiTheme="minorHAnsi" w:cstheme="minorHAnsi"/>
          <w:lang w:val="el-GR"/>
        </w:rPr>
        <w:t xml:space="preserve"> εκατ.</w:t>
      </w:r>
      <w:r>
        <w:rPr>
          <w:rFonts w:asciiTheme="minorHAnsi" w:eastAsia="Times New Roman" w:hAnsiTheme="minorHAnsi" w:cstheme="minorHAnsi"/>
          <w:lang w:val="el-GR"/>
        </w:rPr>
        <w:t xml:space="preserve"> έχει </w:t>
      </w:r>
      <w:r w:rsidR="00EA3A5C">
        <w:rPr>
          <w:rFonts w:asciiTheme="minorHAnsi" w:eastAsia="Times New Roman" w:hAnsiTheme="minorHAnsi" w:cstheme="minorHAnsi"/>
          <w:lang w:val="el-GR"/>
        </w:rPr>
        <w:t>διεκπεραιωθεί</w:t>
      </w:r>
      <w:r>
        <w:rPr>
          <w:rFonts w:asciiTheme="minorHAnsi" w:eastAsia="Times New Roman" w:hAnsiTheme="minorHAnsi" w:cstheme="minorHAnsi"/>
          <w:lang w:val="el-GR"/>
        </w:rPr>
        <w:t xml:space="preserve"> ο έλεγχος </w:t>
      </w:r>
      <w:r w:rsidR="004B16C0">
        <w:rPr>
          <w:rFonts w:asciiTheme="minorHAnsi" w:eastAsia="Times New Roman" w:hAnsiTheme="minorHAnsi" w:cstheme="minorHAnsi"/>
          <w:lang w:val="el-GR"/>
        </w:rPr>
        <w:t xml:space="preserve">και </w:t>
      </w:r>
      <w:r>
        <w:rPr>
          <w:rFonts w:asciiTheme="minorHAnsi" w:eastAsia="Times New Roman" w:hAnsiTheme="minorHAnsi" w:cstheme="minorHAnsi"/>
          <w:lang w:val="el-GR"/>
        </w:rPr>
        <w:t xml:space="preserve">θα προχωρήσει η πληρωμή τους </w:t>
      </w:r>
      <w:r w:rsidR="002D2D0C">
        <w:rPr>
          <w:rFonts w:asciiTheme="minorHAnsi" w:eastAsia="Times New Roman" w:hAnsiTheme="minorHAnsi" w:cstheme="minorHAnsi"/>
          <w:lang w:val="el-GR"/>
        </w:rPr>
        <w:t xml:space="preserve">πολύ </w:t>
      </w:r>
      <w:r w:rsidR="004E0C7F">
        <w:rPr>
          <w:rFonts w:asciiTheme="minorHAnsi" w:eastAsia="Times New Roman" w:hAnsiTheme="minorHAnsi" w:cstheme="minorHAnsi"/>
          <w:lang w:val="el-GR"/>
        </w:rPr>
        <w:t>σύντομα</w:t>
      </w:r>
      <w:r>
        <w:rPr>
          <w:rFonts w:asciiTheme="minorHAnsi" w:eastAsia="Times New Roman" w:hAnsiTheme="minorHAnsi" w:cstheme="minorHAnsi"/>
          <w:lang w:val="el-GR"/>
        </w:rPr>
        <w:t xml:space="preserve">. </w:t>
      </w:r>
    </w:p>
    <w:p w14:paraId="56DC76CE" w14:textId="77777777" w:rsidR="00001688" w:rsidRDefault="003912F1" w:rsidP="003912F1">
      <w:pPr>
        <w:pStyle w:val="a5"/>
        <w:numPr>
          <w:ilvl w:val="0"/>
          <w:numId w:val="21"/>
        </w:numPr>
        <w:jc w:val="both"/>
        <w:rPr>
          <w:rFonts w:ascii="Calibri" w:eastAsia="Times New Roman" w:hAnsi="Calibri"/>
          <w:lang w:val="el-GR"/>
        </w:rPr>
      </w:pPr>
      <w:r w:rsidRPr="009238A4">
        <w:rPr>
          <w:rFonts w:asciiTheme="minorHAnsi" w:eastAsia="Times New Roman" w:hAnsiTheme="minorHAnsi" w:cstheme="minorHAnsi"/>
          <w:lang w:val="el-GR"/>
        </w:rPr>
        <w:t>Ολοκληρώνονται διαρκώς έλεγχοι</w:t>
      </w:r>
      <w:r w:rsidRPr="00A21ECE">
        <w:rPr>
          <w:rFonts w:ascii="Calibri" w:eastAsia="Times New Roman" w:hAnsi="Calibri"/>
          <w:lang w:val="el-GR"/>
        </w:rPr>
        <w:t xml:space="preserve"> αιτημάτων και εκτελούνται πληρωμές κάθε εβδομάδα</w:t>
      </w:r>
    </w:p>
    <w:p w14:paraId="4109EB85" w14:textId="28F37AC4" w:rsidR="004A36D1" w:rsidRPr="00A21ECE" w:rsidRDefault="004A36D1" w:rsidP="004A36D1">
      <w:pPr>
        <w:pStyle w:val="a5"/>
        <w:numPr>
          <w:ilvl w:val="0"/>
          <w:numId w:val="21"/>
        </w:numPr>
        <w:jc w:val="both"/>
        <w:rPr>
          <w:rFonts w:ascii="Calibri" w:eastAsia="Times New Roman" w:hAnsi="Calibri"/>
          <w:lang w:val="el-GR"/>
        </w:rPr>
      </w:pPr>
      <w:r w:rsidRPr="00A21ECE">
        <w:rPr>
          <w:rFonts w:ascii="Calibri" w:eastAsia="Times New Roman" w:hAnsi="Calibri"/>
          <w:lang w:val="el-GR"/>
        </w:rPr>
        <w:t xml:space="preserve">Υπενθυμίζεται ότι στη δράση έχουν ενταχθεί συνολικά </w:t>
      </w:r>
      <w:r w:rsidRPr="00A21ECE">
        <w:rPr>
          <w:rFonts w:ascii="Calibri" w:eastAsia="Times New Roman" w:hAnsi="Calibri"/>
          <w:b/>
          <w:bCs/>
          <w:lang w:val="el-GR"/>
        </w:rPr>
        <w:t>23.</w:t>
      </w:r>
      <w:r w:rsidR="00F93DA7">
        <w:rPr>
          <w:rFonts w:ascii="Calibri" w:eastAsia="Times New Roman" w:hAnsi="Calibri"/>
          <w:b/>
          <w:bCs/>
          <w:lang w:val="el-GR"/>
        </w:rPr>
        <w:t>913</w:t>
      </w:r>
      <w:r w:rsidRPr="00A21ECE">
        <w:rPr>
          <w:rFonts w:ascii="Calibri" w:eastAsia="Times New Roman" w:hAnsi="Calibri"/>
          <w:lang w:val="el-GR"/>
        </w:rPr>
        <w:t xml:space="preserve"> δικαιούχοι με δημόσια δαπάνη </w:t>
      </w:r>
      <w:r w:rsidRPr="00A21ECE">
        <w:rPr>
          <w:rFonts w:ascii="Calibri" w:eastAsia="Times New Roman" w:hAnsi="Calibri"/>
          <w:b/>
          <w:bCs/>
          <w:lang w:val="el-GR"/>
        </w:rPr>
        <w:t>62</w:t>
      </w:r>
      <w:r w:rsidR="00F93DA7">
        <w:rPr>
          <w:rFonts w:ascii="Calibri" w:eastAsia="Times New Roman" w:hAnsi="Calibri"/>
          <w:b/>
          <w:bCs/>
          <w:lang w:val="el-GR"/>
        </w:rPr>
        <w:t>,7</w:t>
      </w:r>
      <w:r w:rsidRPr="00A21ECE">
        <w:rPr>
          <w:rFonts w:ascii="Calibri" w:eastAsia="Times New Roman" w:hAnsi="Calibri"/>
          <w:lang w:val="el-GR"/>
        </w:rPr>
        <w:t xml:space="preserve"> εκατ. €.</w:t>
      </w:r>
    </w:p>
    <w:p w14:paraId="6F1898C4" w14:textId="6C746FD6" w:rsidR="004A36D1" w:rsidRDefault="004A36D1" w:rsidP="004A36D1">
      <w:pPr>
        <w:jc w:val="both"/>
        <w:rPr>
          <w:rFonts w:ascii="Calibri" w:eastAsia="Times New Roman" w:hAnsi="Calibri"/>
          <w:lang w:val="el-GR"/>
        </w:rPr>
      </w:pPr>
    </w:p>
    <w:p w14:paraId="1A79AA25" w14:textId="488101F7" w:rsidR="0010719A" w:rsidRDefault="004A36D1" w:rsidP="0010719A">
      <w:pPr>
        <w:jc w:val="center"/>
        <w:rPr>
          <w:rFonts w:ascii="Calibri" w:eastAsia="Times New Roman" w:hAnsi="Calibri"/>
          <w:b/>
          <w:bCs/>
          <w:u w:val="single"/>
          <w:lang w:val="el-GR"/>
        </w:rPr>
      </w:pPr>
      <w:r w:rsidRPr="004A36D1">
        <w:rPr>
          <w:rFonts w:ascii="Calibri" w:eastAsia="Times New Roman" w:hAnsi="Calibri"/>
          <w:b/>
          <w:bCs/>
          <w:u w:val="single"/>
          <w:lang w:val="el-GR"/>
        </w:rPr>
        <w:t xml:space="preserve">Κατανομή </w:t>
      </w:r>
      <w:r w:rsidR="0010719A">
        <w:rPr>
          <w:rFonts w:ascii="Calibri" w:eastAsia="Times New Roman" w:hAnsi="Calibri"/>
          <w:b/>
          <w:bCs/>
          <w:u w:val="single"/>
          <w:lang w:val="el-GR"/>
        </w:rPr>
        <w:t>αιτημάτων καταβολής χρηματοδότησης</w:t>
      </w:r>
      <w:r w:rsidRPr="004A36D1">
        <w:rPr>
          <w:rFonts w:ascii="Calibri" w:eastAsia="Times New Roman" w:hAnsi="Calibri"/>
          <w:b/>
          <w:bCs/>
          <w:u w:val="single"/>
          <w:lang w:val="el-GR"/>
        </w:rPr>
        <w:t xml:space="preserve"> ΑΜΘ 100 ανά </w:t>
      </w:r>
      <w:r w:rsidR="00047B96">
        <w:rPr>
          <w:rFonts w:ascii="Calibri" w:eastAsia="Times New Roman" w:hAnsi="Calibri"/>
          <w:b/>
          <w:bCs/>
          <w:u w:val="single"/>
          <w:lang w:val="el-GR"/>
        </w:rPr>
        <w:t>Περιφερειακή Ενότητα</w:t>
      </w:r>
    </w:p>
    <w:p w14:paraId="49F35F2D" w14:textId="3E3C0D41" w:rsidR="004A36D1" w:rsidRDefault="00154EB3" w:rsidP="0010719A">
      <w:pPr>
        <w:jc w:val="center"/>
        <w:rPr>
          <w:rFonts w:ascii="Calibri" w:eastAsia="Times New Roman" w:hAnsi="Calibri"/>
          <w:b/>
          <w:bCs/>
          <w:u w:val="single"/>
          <w:lang w:val="el-GR"/>
        </w:rPr>
      </w:pPr>
      <w:r w:rsidRPr="00F35357">
        <w:rPr>
          <w:rFonts w:ascii="Calibri" w:eastAsia="Times New Roman" w:hAnsi="Calibri"/>
          <w:b/>
          <w:bCs/>
          <w:u w:val="single"/>
          <w:lang w:val="el-GR"/>
        </w:rPr>
        <w:t xml:space="preserve">(έως </w:t>
      </w:r>
      <w:r w:rsidR="00E55E2B" w:rsidRPr="00F35357">
        <w:rPr>
          <w:rFonts w:ascii="Calibri" w:eastAsia="Times New Roman" w:hAnsi="Calibri"/>
          <w:b/>
          <w:bCs/>
          <w:u w:val="single"/>
        </w:rPr>
        <w:t>01.04</w:t>
      </w:r>
      <w:r w:rsidR="00F93DA7" w:rsidRPr="00F35357">
        <w:rPr>
          <w:rFonts w:ascii="Calibri" w:eastAsia="Times New Roman" w:hAnsi="Calibri"/>
          <w:b/>
          <w:bCs/>
          <w:u w:val="single"/>
          <w:lang w:val="el-GR"/>
        </w:rPr>
        <w:t>.22</w:t>
      </w:r>
      <w:r w:rsidRPr="00F35357">
        <w:rPr>
          <w:rFonts w:ascii="Calibri" w:eastAsia="Times New Roman" w:hAnsi="Calibri"/>
          <w:b/>
          <w:bCs/>
          <w:u w:val="single"/>
          <w:lang w:val="el-GR"/>
        </w:rPr>
        <w:t>)</w:t>
      </w:r>
      <w:r w:rsidR="004A36D1" w:rsidRPr="00F35357">
        <w:rPr>
          <w:rFonts w:ascii="Calibri" w:eastAsia="Times New Roman" w:hAnsi="Calibri"/>
          <w:b/>
          <w:bCs/>
          <w:u w:val="single"/>
          <w:lang w:val="el-GR"/>
        </w:rPr>
        <w:t>:</w:t>
      </w:r>
    </w:p>
    <w:p w14:paraId="7DC34A4A" w14:textId="77777777" w:rsidR="0043240C" w:rsidRPr="004A36D1" w:rsidRDefault="0043240C" w:rsidP="0010719A">
      <w:pPr>
        <w:jc w:val="center"/>
        <w:rPr>
          <w:rFonts w:ascii="Calibri" w:eastAsia="Times New Roman" w:hAnsi="Calibri"/>
          <w:b/>
          <w:bCs/>
          <w:u w:val="single"/>
          <w:lang w:val="el-GR"/>
        </w:rPr>
      </w:pPr>
    </w:p>
    <w:tbl>
      <w:tblPr>
        <w:tblW w:w="9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864"/>
        <w:gridCol w:w="1984"/>
        <w:gridCol w:w="2126"/>
        <w:gridCol w:w="1843"/>
      </w:tblGrid>
      <w:tr w:rsidR="00E55E2B" w14:paraId="2E7DD8DF" w14:textId="77777777" w:rsidTr="00E55E2B">
        <w:trPr>
          <w:trHeight w:val="765"/>
        </w:trPr>
        <w:tc>
          <w:tcPr>
            <w:tcW w:w="1941" w:type="dxa"/>
            <w:tcBorders>
              <w:top w:val="double" w:sz="6" w:space="0" w:color="2E74B5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39BCE766" w14:textId="77777777" w:rsidR="00E55E2B" w:rsidRPr="00E55E2B" w:rsidRDefault="00E55E2B">
            <w:pPr>
              <w:jc w:val="center"/>
              <w:rPr>
                <w:rFonts w:ascii="Calibri" w:eastAsiaTheme="minorHAnsi" w:hAnsi="Calibri"/>
                <w:b/>
                <w:bCs/>
                <w:color w:val="44546A"/>
                <w:sz w:val="22"/>
                <w:szCs w:val="22"/>
                <w:lang w:val="el-GR" w:eastAsia="el-GR"/>
              </w:rPr>
            </w:pP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Περιφερει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ακή </w:t>
            </w:r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br/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Ενότητ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α</w:t>
            </w:r>
          </w:p>
        </w:tc>
        <w:tc>
          <w:tcPr>
            <w:tcW w:w="1864" w:type="dxa"/>
            <w:tcBorders>
              <w:top w:val="double" w:sz="6" w:space="0" w:color="2E74B5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1F05FA0A" w14:textId="77777777" w:rsidR="00E55E2B" w:rsidRPr="00E55E2B" w:rsidRDefault="00E55E2B">
            <w:pPr>
              <w:jc w:val="center"/>
              <w:rPr>
                <w:b/>
                <w:bCs/>
                <w:color w:val="44546A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Υποβ</w:t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ληθέντ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α </w:t>
            </w:r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br/>
              <w:t>α</w:t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ιτήμ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ατα καταβ</w:t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ολής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4" w:type="dxa"/>
            <w:tcBorders>
              <w:top w:val="double" w:sz="6" w:space="0" w:color="2E74B5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43561E22" w14:textId="77777777" w:rsidR="00E55E2B" w:rsidRPr="00E55E2B" w:rsidRDefault="00E55E2B">
            <w:pPr>
              <w:jc w:val="center"/>
              <w:rPr>
                <w:b/>
                <w:bCs/>
                <w:color w:val="44546A"/>
                <w:sz w:val="22"/>
                <w:szCs w:val="22"/>
                <w:lang w:eastAsia="el-GR"/>
              </w:rPr>
            </w:pP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Πιστο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ποιημένα </w:t>
            </w:r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br/>
              <w:t>α</w:t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ιτήμ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ατα </w:t>
            </w:r>
          </w:p>
        </w:tc>
        <w:tc>
          <w:tcPr>
            <w:tcW w:w="2126" w:type="dxa"/>
            <w:tcBorders>
              <w:top w:val="double" w:sz="6" w:space="0" w:color="2E74B5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59CEE9A6" w14:textId="77777777" w:rsidR="00E55E2B" w:rsidRPr="00E55E2B" w:rsidRDefault="00E55E2B" w:rsidP="00E55E2B">
            <w:pPr>
              <w:jc w:val="center"/>
              <w:rPr>
                <w:b/>
                <w:bCs/>
                <w:color w:val="44546A"/>
                <w:sz w:val="22"/>
                <w:szCs w:val="22"/>
                <w:lang w:eastAsia="el-GR"/>
              </w:rPr>
            </w:pP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Δημόσι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α </w:t>
            </w:r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br/>
              <w:t>Δαπ</w:t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άνη</w:t>
            </w:r>
            <w:proofErr w:type="spellEnd"/>
          </w:p>
        </w:tc>
        <w:tc>
          <w:tcPr>
            <w:tcW w:w="1843" w:type="dxa"/>
            <w:tcBorders>
              <w:top w:val="double" w:sz="6" w:space="0" w:color="2E74B5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71E66356" w14:textId="77777777" w:rsidR="00E55E2B" w:rsidRPr="00E55E2B" w:rsidRDefault="00E55E2B">
            <w:pPr>
              <w:jc w:val="center"/>
              <w:rPr>
                <w:b/>
                <w:bCs/>
                <w:color w:val="44546A"/>
                <w:sz w:val="22"/>
                <w:szCs w:val="22"/>
                <w:lang w:eastAsia="el-GR"/>
              </w:rPr>
            </w:pP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Ποσοστό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 xml:space="preserve"> </w:t>
            </w:r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br/>
            </w:r>
            <w:proofErr w:type="spellStart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εξυ</w:t>
            </w:r>
            <w:proofErr w:type="spellEnd"/>
            <w:r w:rsidRPr="00E55E2B">
              <w:rPr>
                <w:b/>
                <w:bCs/>
                <w:color w:val="44546A"/>
                <w:sz w:val="22"/>
                <w:szCs w:val="22"/>
                <w:lang w:eastAsia="el-GR"/>
              </w:rPr>
              <w:t>πηρέτησης</w:t>
            </w:r>
          </w:p>
        </w:tc>
      </w:tr>
      <w:tr w:rsidR="00E55E2B" w14:paraId="44ECBFF3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CF5BBF4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ΚΑΒΑΛΑΣ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6A384A6B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5.342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0C8BCF5A" w14:textId="77777777" w:rsidR="00E55E2B" w:rsidRPr="00E55E2B" w:rsidRDefault="00E55E2B">
            <w:pPr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5.077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6A9E796C" w14:textId="77777777" w:rsidR="00E55E2B" w:rsidRPr="00E55E2B" w:rsidRDefault="00E55E2B" w:rsidP="00E55E2B">
            <w:pPr>
              <w:ind w:firstLine="220"/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12.441.575,00 €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5CA51A3F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95%</w:t>
            </w:r>
          </w:p>
        </w:tc>
      </w:tr>
      <w:tr w:rsidR="00E55E2B" w14:paraId="316C9CCB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498C97AE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ΘΑΣΟΥ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31A3D636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1.585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755DB3F3" w14:textId="77777777" w:rsidR="00E55E2B" w:rsidRPr="00E55E2B" w:rsidRDefault="00E55E2B">
            <w:pPr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1.394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6CD656B" w14:textId="77777777" w:rsidR="00E55E2B" w:rsidRPr="00E55E2B" w:rsidRDefault="00E55E2B" w:rsidP="00E55E2B">
            <w:pPr>
              <w:ind w:firstLine="220"/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2.798.590,00 €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30B88254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88%</w:t>
            </w:r>
          </w:p>
        </w:tc>
      </w:tr>
      <w:tr w:rsidR="00E55E2B" w14:paraId="4974BF2D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EC7EE24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ΕΒΡΟΥ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47079F1D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4.874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0A6FF2AE" w14:textId="77777777" w:rsidR="00E55E2B" w:rsidRPr="00E55E2B" w:rsidRDefault="00E55E2B">
            <w:pPr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4.599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03BDBA35" w14:textId="77777777" w:rsidR="00E55E2B" w:rsidRPr="00E55E2B" w:rsidRDefault="00E55E2B" w:rsidP="00E55E2B">
            <w:pPr>
              <w:ind w:firstLine="220"/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11.310.900,00 €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09D3130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94%</w:t>
            </w:r>
          </w:p>
        </w:tc>
      </w:tr>
      <w:tr w:rsidR="00E55E2B" w14:paraId="28B16370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1ED6F8CB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ΔΡΑΜΑΣ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38133640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3.271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5414F90F" w14:textId="77777777" w:rsidR="00E55E2B" w:rsidRPr="00E55E2B" w:rsidRDefault="00E55E2B">
            <w:pPr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3.146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43A39D0D" w14:textId="77777777" w:rsidR="00E55E2B" w:rsidRPr="00E55E2B" w:rsidRDefault="00E55E2B" w:rsidP="00E55E2B">
            <w:pPr>
              <w:ind w:firstLine="220"/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7.981.800,00 €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76CCC513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96%</w:t>
            </w:r>
          </w:p>
        </w:tc>
      </w:tr>
      <w:tr w:rsidR="00E55E2B" w14:paraId="35F90CF3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38408B24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ΞΑΝΘΗΣ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1F26BA8C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3.465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BCF57DD" w14:textId="77777777" w:rsidR="00E55E2B" w:rsidRPr="00E55E2B" w:rsidRDefault="00E55E2B">
            <w:pPr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3.317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4C6A8C4E" w14:textId="77777777" w:rsidR="00E55E2B" w:rsidRPr="00E55E2B" w:rsidRDefault="00E55E2B" w:rsidP="00E55E2B">
            <w:pPr>
              <w:ind w:firstLine="220"/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10.183.868,93 €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E957011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96%</w:t>
            </w:r>
          </w:p>
        </w:tc>
      </w:tr>
      <w:tr w:rsidR="00E55E2B" w14:paraId="349505D7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2E7298C6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ΡΟΔΟΠΗΣ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7D5BBD3E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3.664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4377E125" w14:textId="77777777" w:rsidR="00E55E2B" w:rsidRPr="00E55E2B" w:rsidRDefault="00E55E2B">
            <w:pPr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3.417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69051863" w14:textId="77777777" w:rsidR="00E55E2B" w:rsidRPr="00E55E2B" w:rsidRDefault="00E55E2B" w:rsidP="00E55E2B">
            <w:pPr>
              <w:ind w:firstLine="220"/>
              <w:jc w:val="center"/>
              <w:rPr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color w:val="333333"/>
                <w:sz w:val="22"/>
                <w:szCs w:val="22"/>
                <w:lang w:eastAsia="el-GR"/>
              </w:rPr>
              <w:t>8.416.800,00 €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038586E7" w14:textId="77777777" w:rsidR="00E55E2B" w:rsidRPr="00E55E2B" w:rsidRDefault="00E55E2B">
            <w:pPr>
              <w:jc w:val="center"/>
              <w:rPr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color w:val="484848"/>
                <w:sz w:val="22"/>
                <w:szCs w:val="22"/>
                <w:lang w:eastAsia="el-GR"/>
              </w:rPr>
              <w:t>93%</w:t>
            </w:r>
          </w:p>
        </w:tc>
      </w:tr>
      <w:tr w:rsidR="00E55E2B" w14:paraId="62539664" w14:textId="77777777" w:rsidTr="00E55E2B">
        <w:trPr>
          <w:trHeight w:val="394"/>
        </w:trPr>
        <w:tc>
          <w:tcPr>
            <w:tcW w:w="1941" w:type="dxa"/>
            <w:tcBorders>
              <w:top w:val="nil"/>
              <w:left w:val="double" w:sz="6" w:space="0" w:color="2E74B5"/>
              <w:bottom w:val="double" w:sz="6" w:space="0" w:color="2E74B5"/>
              <w:right w:val="double" w:sz="6" w:space="0" w:color="2E74B5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540DCC3E" w14:textId="77777777" w:rsidR="00E55E2B" w:rsidRPr="00E55E2B" w:rsidRDefault="00E55E2B">
            <w:pPr>
              <w:ind w:firstLine="221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ΣΥΝΟΛΑ:</w:t>
            </w: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306136C6" w14:textId="77777777" w:rsidR="00E55E2B" w:rsidRPr="00E55E2B" w:rsidRDefault="00E55E2B">
            <w:pPr>
              <w:jc w:val="center"/>
              <w:rPr>
                <w:b/>
                <w:bCs/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484848"/>
                <w:sz w:val="22"/>
                <w:szCs w:val="22"/>
                <w:lang w:eastAsia="el-GR"/>
              </w:rPr>
              <w:t>22.201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1C7F1203" w14:textId="77777777" w:rsidR="00E55E2B" w:rsidRPr="00E55E2B" w:rsidRDefault="00E55E2B">
            <w:pPr>
              <w:jc w:val="center"/>
              <w:rPr>
                <w:b/>
                <w:bCs/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484848"/>
                <w:sz w:val="22"/>
                <w:szCs w:val="22"/>
                <w:lang w:eastAsia="el-GR"/>
              </w:rPr>
              <w:t>20.950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51E2CCE3" w14:textId="77777777" w:rsidR="00E55E2B" w:rsidRPr="00E55E2B" w:rsidRDefault="00E55E2B" w:rsidP="00E55E2B">
            <w:pPr>
              <w:ind w:firstLine="221"/>
              <w:jc w:val="center"/>
              <w:rPr>
                <w:b/>
                <w:bCs/>
                <w:color w:val="333333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333333"/>
                <w:sz w:val="22"/>
                <w:szCs w:val="22"/>
                <w:lang w:eastAsia="el-GR"/>
              </w:rPr>
              <w:t>53.133.533,93 €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2E74B5"/>
              <w:right w:val="double" w:sz="6" w:space="0" w:color="2E74B5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42" w:type="dxa"/>
            </w:tcMar>
            <w:vAlign w:val="center"/>
            <w:hideMark/>
          </w:tcPr>
          <w:p w14:paraId="04DB0B77" w14:textId="77777777" w:rsidR="00E55E2B" w:rsidRPr="00E55E2B" w:rsidRDefault="00E55E2B">
            <w:pPr>
              <w:jc w:val="center"/>
              <w:rPr>
                <w:b/>
                <w:bCs/>
                <w:color w:val="484848"/>
                <w:sz w:val="22"/>
                <w:szCs w:val="22"/>
                <w:lang w:eastAsia="el-GR"/>
              </w:rPr>
            </w:pPr>
            <w:r w:rsidRPr="00E55E2B">
              <w:rPr>
                <w:b/>
                <w:bCs/>
                <w:color w:val="484848"/>
                <w:sz w:val="22"/>
                <w:szCs w:val="22"/>
                <w:lang w:eastAsia="el-GR"/>
              </w:rPr>
              <w:t>94%</w:t>
            </w:r>
          </w:p>
        </w:tc>
      </w:tr>
    </w:tbl>
    <w:p w14:paraId="681F319D" w14:textId="20D552DA" w:rsidR="00D825FC" w:rsidRDefault="00D825FC" w:rsidP="003A50BB">
      <w:pPr>
        <w:ind w:left="-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A71C365" w14:textId="1961C599" w:rsidR="0043240C" w:rsidRDefault="0043240C" w:rsidP="00BE332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Hlk84853985"/>
    </w:p>
    <w:p w14:paraId="56E63222" w14:textId="77777777" w:rsidR="0043240C" w:rsidRDefault="0043240C" w:rsidP="00BE332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949A8F8" w14:textId="33F3E88E" w:rsidR="001753C9" w:rsidRDefault="001753C9" w:rsidP="0054244F">
      <w:pPr>
        <w:pStyle w:val="a5"/>
        <w:numPr>
          <w:ilvl w:val="0"/>
          <w:numId w:val="22"/>
        </w:numPr>
        <w:ind w:left="142" w:hanging="284"/>
        <w:jc w:val="both"/>
        <w:rPr>
          <w:rFonts w:asciiTheme="minorHAnsi" w:hAnsiTheme="minorHAnsi" w:cstheme="minorHAnsi"/>
          <w:lang w:val="el-GR"/>
        </w:rPr>
      </w:pPr>
      <w:r w:rsidRPr="000C0AE3">
        <w:rPr>
          <w:rFonts w:asciiTheme="minorHAnsi" w:hAnsiTheme="minorHAnsi" w:cstheme="minorHAnsi"/>
          <w:lang w:val="el-GR"/>
        </w:rPr>
        <w:t>Υπενθυμίζεται ότι</w:t>
      </w:r>
      <w:r w:rsidR="00DC273B">
        <w:rPr>
          <w:rFonts w:asciiTheme="minorHAnsi" w:hAnsiTheme="minorHAnsi" w:cstheme="minorHAnsi"/>
          <w:lang w:val="el-GR"/>
        </w:rPr>
        <w:t xml:space="preserve">, </w:t>
      </w:r>
      <w:r w:rsidR="00346120">
        <w:rPr>
          <w:rFonts w:asciiTheme="minorHAnsi" w:hAnsiTheme="minorHAnsi" w:cstheme="minorHAnsi"/>
          <w:lang w:val="el-GR"/>
        </w:rPr>
        <w:t>σύμφωνα με την πρόσκληση της δράσης</w:t>
      </w:r>
      <w:r w:rsidR="003300C3">
        <w:rPr>
          <w:rFonts w:asciiTheme="minorHAnsi" w:hAnsiTheme="minorHAnsi" w:cstheme="minorHAnsi"/>
          <w:lang w:val="el-GR"/>
        </w:rPr>
        <w:t>,</w:t>
      </w:r>
      <w:r w:rsidR="00346120">
        <w:rPr>
          <w:rFonts w:asciiTheme="minorHAnsi" w:hAnsiTheme="minorHAnsi" w:cstheme="minorHAnsi"/>
          <w:lang w:val="el-GR"/>
        </w:rPr>
        <w:t xml:space="preserve"> </w:t>
      </w:r>
      <w:r w:rsidRPr="000C0AE3">
        <w:rPr>
          <w:rFonts w:asciiTheme="minorHAnsi" w:hAnsiTheme="minorHAnsi" w:cstheme="minorHAnsi"/>
          <w:lang w:val="el-GR"/>
        </w:rPr>
        <w:t xml:space="preserve">οι ενταγμένες επιχειρήσεις θα πρέπει να υποβάλλουν </w:t>
      </w:r>
      <w:r w:rsidR="0017320A">
        <w:rPr>
          <w:rFonts w:asciiTheme="minorHAnsi" w:hAnsiTheme="minorHAnsi" w:cstheme="minorHAnsi"/>
          <w:lang w:val="el-GR"/>
        </w:rPr>
        <w:t xml:space="preserve">υποχρεωτικά </w:t>
      </w:r>
      <w:r w:rsidRPr="000C0AE3">
        <w:rPr>
          <w:rFonts w:asciiTheme="minorHAnsi" w:hAnsiTheme="minorHAnsi" w:cstheme="minorHAnsi"/>
          <w:lang w:val="el-GR"/>
        </w:rPr>
        <w:t xml:space="preserve">αίτημα καταβολής </w:t>
      </w:r>
      <w:r w:rsidRPr="000C0AE3">
        <w:rPr>
          <w:rFonts w:asciiTheme="minorHAnsi" w:hAnsiTheme="minorHAnsi" w:cstheme="minorHAnsi"/>
          <w:u w:val="single"/>
          <w:lang w:val="el-GR"/>
        </w:rPr>
        <w:t xml:space="preserve">έως την </w:t>
      </w:r>
      <w:r w:rsidR="0017320A">
        <w:rPr>
          <w:rFonts w:asciiTheme="minorHAnsi" w:hAnsiTheme="minorHAnsi" w:cstheme="minorHAnsi"/>
          <w:u w:val="single"/>
          <w:lang w:val="el-GR"/>
        </w:rPr>
        <w:t>12</w:t>
      </w:r>
      <w:r w:rsidRPr="000C0AE3">
        <w:rPr>
          <w:rFonts w:asciiTheme="minorHAnsi" w:hAnsiTheme="minorHAnsi" w:cstheme="minorHAnsi"/>
          <w:u w:val="single"/>
          <w:lang w:val="el-GR"/>
        </w:rPr>
        <w:t>/05/2022</w:t>
      </w:r>
      <w:r w:rsidR="0011490F">
        <w:rPr>
          <w:rFonts w:asciiTheme="minorHAnsi" w:hAnsiTheme="minorHAnsi" w:cstheme="minorHAnsi"/>
          <w:lang w:val="el-GR"/>
        </w:rPr>
        <w:t xml:space="preserve"> (ΚΕΦ. </w:t>
      </w:r>
      <w:r w:rsidR="0011490F" w:rsidRPr="0011490F">
        <w:rPr>
          <w:rFonts w:asciiTheme="minorHAnsi" w:hAnsiTheme="minorHAnsi" w:cstheme="minorHAnsi"/>
          <w:lang w:val="el-GR"/>
        </w:rPr>
        <w:t>11. ΚΑΤΑΒΟΛΗ ΤΗΣ ΔΗΜΟΣΙΑΣ ΧΡΗΜΑΤΟΔΟΤΗΣΗΣ ΣΤΟΥΣ ΛΗΠΤΕΣ ΤΗΣ ΕΝΙΣΧΥΣΗΣ</w:t>
      </w:r>
      <w:r w:rsidR="0011490F">
        <w:rPr>
          <w:rFonts w:asciiTheme="minorHAnsi" w:hAnsiTheme="minorHAnsi" w:cstheme="minorHAnsi"/>
          <w:lang w:val="el-GR"/>
        </w:rPr>
        <w:t xml:space="preserve">) </w:t>
      </w:r>
      <w:r w:rsidRPr="000C0AE3">
        <w:rPr>
          <w:rFonts w:asciiTheme="minorHAnsi" w:hAnsiTheme="minorHAnsi" w:cstheme="minorHAnsi"/>
          <w:lang w:val="el-GR"/>
        </w:rPr>
        <w:t xml:space="preserve">προκειμένου να </w:t>
      </w:r>
      <w:r w:rsidR="00C67E29" w:rsidRPr="000C0AE3">
        <w:rPr>
          <w:rFonts w:asciiTheme="minorHAnsi" w:hAnsiTheme="minorHAnsi" w:cstheme="minorHAnsi"/>
          <w:lang w:val="el-GR"/>
        </w:rPr>
        <w:t>εκκινήσει</w:t>
      </w:r>
      <w:r w:rsidRPr="000C0AE3">
        <w:rPr>
          <w:rFonts w:asciiTheme="minorHAnsi" w:hAnsiTheme="minorHAnsi" w:cstheme="minorHAnsi"/>
          <w:lang w:val="el-GR"/>
        </w:rPr>
        <w:t xml:space="preserve"> </w:t>
      </w:r>
      <w:r w:rsidR="00E0261B" w:rsidRPr="000C0AE3">
        <w:rPr>
          <w:rFonts w:asciiTheme="minorHAnsi" w:hAnsiTheme="minorHAnsi" w:cstheme="minorHAnsi"/>
          <w:lang w:val="el-GR"/>
        </w:rPr>
        <w:t xml:space="preserve">ο </w:t>
      </w:r>
      <w:r w:rsidRPr="000C0AE3">
        <w:rPr>
          <w:rFonts w:asciiTheme="minorHAnsi" w:hAnsiTheme="minorHAnsi" w:cstheme="minorHAnsi"/>
          <w:lang w:val="el-GR"/>
        </w:rPr>
        <w:t xml:space="preserve">έλεγχος και </w:t>
      </w:r>
      <w:r w:rsidR="00E0261B" w:rsidRPr="000C0AE3">
        <w:rPr>
          <w:rFonts w:asciiTheme="minorHAnsi" w:hAnsiTheme="minorHAnsi" w:cstheme="minorHAnsi"/>
          <w:lang w:val="el-GR"/>
        </w:rPr>
        <w:t xml:space="preserve">να προχωρήσει </w:t>
      </w:r>
      <w:r w:rsidR="001D7459">
        <w:rPr>
          <w:rFonts w:asciiTheme="minorHAnsi" w:hAnsiTheme="minorHAnsi" w:cstheme="minorHAnsi"/>
          <w:lang w:val="el-GR"/>
        </w:rPr>
        <w:t>κατόπιν θετικής πιστοποίησης η</w:t>
      </w:r>
      <w:r w:rsidRPr="000C0AE3">
        <w:rPr>
          <w:rFonts w:asciiTheme="minorHAnsi" w:hAnsiTheme="minorHAnsi" w:cstheme="minorHAnsi"/>
          <w:lang w:val="el-GR"/>
        </w:rPr>
        <w:t xml:space="preserve"> πληρωμή</w:t>
      </w:r>
      <w:r w:rsidR="00E0261B" w:rsidRPr="000C0AE3">
        <w:rPr>
          <w:rFonts w:asciiTheme="minorHAnsi" w:hAnsiTheme="minorHAnsi" w:cstheme="minorHAnsi"/>
          <w:lang w:val="el-GR"/>
        </w:rPr>
        <w:t xml:space="preserve"> τους</w:t>
      </w:r>
      <w:r w:rsidRPr="000C0AE3">
        <w:rPr>
          <w:rFonts w:asciiTheme="minorHAnsi" w:hAnsiTheme="minorHAnsi" w:cstheme="minorHAnsi"/>
          <w:lang w:val="el-GR"/>
        </w:rPr>
        <w:t xml:space="preserve">. </w:t>
      </w:r>
    </w:p>
    <w:p w14:paraId="162011B5" w14:textId="77777777" w:rsidR="003300C3" w:rsidRPr="000C0AE3" w:rsidRDefault="003300C3" w:rsidP="003300C3">
      <w:pPr>
        <w:pStyle w:val="a5"/>
        <w:ind w:left="142"/>
        <w:jc w:val="both"/>
        <w:rPr>
          <w:rFonts w:asciiTheme="minorHAnsi" w:hAnsiTheme="minorHAnsi" w:cstheme="minorHAnsi"/>
          <w:lang w:val="el-GR"/>
        </w:rPr>
      </w:pPr>
    </w:p>
    <w:p w14:paraId="04E00649" w14:textId="6781645E" w:rsidR="004A36D1" w:rsidRPr="000C0AE3" w:rsidRDefault="001753C9" w:rsidP="0054244F">
      <w:pPr>
        <w:pStyle w:val="a5"/>
        <w:numPr>
          <w:ilvl w:val="0"/>
          <w:numId w:val="22"/>
        </w:numPr>
        <w:ind w:left="142" w:hanging="284"/>
        <w:jc w:val="both"/>
        <w:rPr>
          <w:rFonts w:asciiTheme="minorHAnsi" w:hAnsiTheme="minorHAnsi" w:cstheme="minorHAnsi"/>
          <w:lang w:val="el-GR"/>
        </w:rPr>
      </w:pPr>
      <w:r w:rsidRPr="000C0AE3">
        <w:rPr>
          <w:rFonts w:asciiTheme="minorHAnsi" w:hAnsiTheme="minorHAnsi" w:cstheme="minorHAnsi"/>
          <w:lang w:val="el-GR"/>
        </w:rPr>
        <w:t xml:space="preserve"> Οι </w:t>
      </w:r>
      <w:r w:rsidR="00047B96" w:rsidRPr="000C0AE3">
        <w:rPr>
          <w:rFonts w:asciiTheme="minorHAnsi" w:hAnsiTheme="minorHAnsi" w:cstheme="minorHAnsi"/>
          <w:lang w:val="el-GR"/>
        </w:rPr>
        <w:t xml:space="preserve">έλεγχοι και </w:t>
      </w:r>
      <w:r w:rsidR="00E0261B" w:rsidRPr="000C0AE3">
        <w:rPr>
          <w:rFonts w:asciiTheme="minorHAnsi" w:hAnsiTheme="minorHAnsi" w:cstheme="minorHAnsi"/>
          <w:lang w:val="el-GR"/>
        </w:rPr>
        <w:t>ακολούθως οι</w:t>
      </w:r>
      <w:r w:rsidR="00047B96" w:rsidRPr="000C0AE3">
        <w:rPr>
          <w:rFonts w:asciiTheme="minorHAnsi" w:hAnsiTheme="minorHAnsi" w:cstheme="minorHAnsi"/>
          <w:lang w:val="el-GR"/>
        </w:rPr>
        <w:t xml:space="preserve"> πληρωμές διενεργούνται με </w:t>
      </w:r>
      <w:r w:rsidR="00047B96" w:rsidRPr="001905CF">
        <w:rPr>
          <w:rFonts w:asciiTheme="minorHAnsi" w:hAnsiTheme="minorHAnsi" w:cstheme="minorHAnsi"/>
          <w:u w:val="single"/>
          <w:lang w:val="el-GR"/>
        </w:rPr>
        <w:t>σειρά προτεραιότητας</w:t>
      </w:r>
      <w:r w:rsidR="00047B96" w:rsidRPr="000C0AE3">
        <w:rPr>
          <w:rFonts w:asciiTheme="minorHAnsi" w:hAnsiTheme="minorHAnsi" w:cstheme="minorHAnsi"/>
          <w:lang w:val="el-GR"/>
        </w:rPr>
        <w:t>, βάσει ημερομηνίας υποβολής αιτήματος καταβολής</w:t>
      </w:r>
      <w:r w:rsidR="0054244F" w:rsidRPr="000C0AE3">
        <w:rPr>
          <w:rFonts w:asciiTheme="minorHAnsi" w:hAnsiTheme="minorHAnsi" w:cstheme="minorHAnsi"/>
          <w:lang w:val="el-GR"/>
        </w:rPr>
        <w:t xml:space="preserve"> από πλευράς δικαιούχων</w:t>
      </w:r>
      <w:r w:rsidR="00047B96" w:rsidRPr="000C0AE3">
        <w:rPr>
          <w:rFonts w:asciiTheme="minorHAnsi" w:hAnsiTheme="minorHAnsi" w:cstheme="minorHAnsi"/>
          <w:lang w:val="el-GR"/>
        </w:rPr>
        <w:t xml:space="preserve">. </w:t>
      </w:r>
    </w:p>
    <w:p w14:paraId="28A405EC" w14:textId="3783EA14" w:rsidR="004A36D1" w:rsidRDefault="004A36D1" w:rsidP="0080669C">
      <w:pPr>
        <w:ind w:left="-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AB7D5B5" w14:textId="598E75CA" w:rsidR="004A36D1" w:rsidRPr="000C0AE3" w:rsidRDefault="004A36D1" w:rsidP="0080669C">
      <w:pPr>
        <w:ind w:left="-284"/>
        <w:jc w:val="both"/>
        <w:rPr>
          <w:rFonts w:asciiTheme="minorHAnsi" w:hAnsiTheme="minorHAnsi" w:cstheme="minorHAnsi"/>
          <w:lang w:val="el-GR"/>
        </w:rPr>
      </w:pPr>
    </w:p>
    <w:p w14:paraId="4A941DFA" w14:textId="3614900E" w:rsidR="00D04237" w:rsidRDefault="009D6144" w:rsidP="00D04237">
      <w:pPr>
        <w:ind w:left="-284"/>
        <w:jc w:val="both"/>
        <w:rPr>
          <w:rFonts w:asciiTheme="minorHAnsi" w:hAnsiTheme="minorHAnsi" w:cstheme="minorHAnsi"/>
          <w:i/>
          <w:lang w:val="el-GR"/>
        </w:rPr>
      </w:pPr>
      <w:r w:rsidRPr="000C0AE3">
        <w:rPr>
          <w:rFonts w:asciiTheme="minorHAnsi" w:hAnsiTheme="minorHAnsi" w:cstheme="minorHAnsi"/>
          <w:lang w:val="el-GR"/>
        </w:rPr>
        <w:t>Ο</w:t>
      </w:r>
      <w:r w:rsidR="003A3B70" w:rsidRPr="000C0AE3">
        <w:rPr>
          <w:rFonts w:asciiTheme="minorHAnsi" w:hAnsiTheme="minorHAnsi" w:cstheme="minorHAnsi"/>
          <w:lang w:val="el-GR"/>
        </w:rPr>
        <w:t xml:space="preserve"> Πρόεδρος του </w:t>
      </w:r>
      <w:r w:rsidR="00CF043A" w:rsidRPr="000C0AE3">
        <w:rPr>
          <w:rFonts w:asciiTheme="minorHAnsi" w:hAnsiTheme="minorHAnsi" w:cstheme="minorHAnsi"/>
          <w:lang w:val="el-GR"/>
        </w:rPr>
        <w:t xml:space="preserve"> Δ.Σ. του </w:t>
      </w:r>
      <w:r w:rsidR="003A3B70" w:rsidRPr="000C0AE3">
        <w:rPr>
          <w:rFonts w:asciiTheme="minorHAnsi" w:hAnsiTheme="minorHAnsi" w:cstheme="minorHAnsi"/>
          <w:lang w:val="el-GR"/>
        </w:rPr>
        <w:t xml:space="preserve">ΕΦΕΠΑΕ </w:t>
      </w:r>
      <w:r w:rsidR="003A3B70" w:rsidRPr="000C0AE3">
        <w:rPr>
          <w:rFonts w:asciiTheme="minorHAnsi" w:hAnsiTheme="minorHAnsi" w:cstheme="minorHAnsi"/>
          <w:b/>
          <w:lang w:val="el-GR"/>
        </w:rPr>
        <w:t>κ. Πλάτων Μαρλαφέκας</w:t>
      </w:r>
      <w:r w:rsidRPr="000C0AE3">
        <w:rPr>
          <w:rFonts w:asciiTheme="minorHAnsi" w:hAnsiTheme="minorHAnsi" w:cstheme="minorHAnsi"/>
          <w:b/>
          <w:lang w:val="el-GR"/>
        </w:rPr>
        <w:t xml:space="preserve"> </w:t>
      </w:r>
      <w:r w:rsidR="00BB56E9">
        <w:rPr>
          <w:rFonts w:asciiTheme="minorHAnsi" w:hAnsiTheme="minorHAnsi" w:cstheme="minorHAnsi"/>
          <w:bCs/>
          <w:lang w:val="el-GR"/>
        </w:rPr>
        <w:t>δήλωσε</w:t>
      </w:r>
      <w:r w:rsidRPr="000C0AE3">
        <w:rPr>
          <w:rFonts w:asciiTheme="minorHAnsi" w:hAnsiTheme="minorHAnsi" w:cstheme="minorHAnsi"/>
          <w:b/>
          <w:lang w:val="el-GR"/>
        </w:rPr>
        <w:t xml:space="preserve"> </w:t>
      </w:r>
      <w:r w:rsidR="003A3B70" w:rsidRPr="000C0AE3">
        <w:rPr>
          <w:rFonts w:asciiTheme="minorHAnsi" w:hAnsiTheme="minorHAnsi" w:cstheme="minorHAnsi"/>
          <w:i/>
          <w:lang w:val="el-GR"/>
        </w:rPr>
        <w:t>«</w:t>
      </w:r>
      <w:r w:rsidR="0017320A">
        <w:rPr>
          <w:rFonts w:asciiTheme="minorHAnsi" w:hAnsiTheme="minorHAnsi" w:cstheme="minorHAnsi"/>
          <w:i/>
          <w:lang w:val="el-GR"/>
        </w:rPr>
        <w:t xml:space="preserve">Μια δράση τεραστίων διαστάσεων σε επίπεδο αξιολόγησης, </w:t>
      </w:r>
      <w:r w:rsidR="00346120">
        <w:rPr>
          <w:rFonts w:asciiTheme="minorHAnsi" w:hAnsiTheme="minorHAnsi" w:cstheme="minorHAnsi"/>
          <w:i/>
          <w:lang w:val="el-GR"/>
        </w:rPr>
        <w:t>πιστοποιήσεων</w:t>
      </w:r>
      <w:r w:rsidR="0017320A">
        <w:rPr>
          <w:rFonts w:asciiTheme="minorHAnsi" w:hAnsiTheme="minorHAnsi" w:cstheme="minorHAnsi"/>
          <w:i/>
          <w:lang w:val="el-GR"/>
        </w:rPr>
        <w:t xml:space="preserve"> και πληρωμών για την περιφέρεια Ανατολικής Μακεδονίας &amp; Θράκης βαίνει προς ολοκλήρωση. Ο μεγάλος όγκος </w:t>
      </w:r>
      <w:r w:rsidR="00DA540E">
        <w:rPr>
          <w:rFonts w:asciiTheme="minorHAnsi" w:hAnsiTheme="minorHAnsi" w:cstheme="minorHAnsi"/>
          <w:i/>
          <w:lang w:val="el-GR"/>
        </w:rPr>
        <w:t xml:space="preserve">ελέγχων </w:t>
      </w:r>
      <w:r w:rsidR="0017320A">
        <w:rPr>
          <w:rFonts w:asciiTheme="minorHAnsi" w:hAnsiTheme="minorHAnsi" w:cstheme="minorHAnsi"/>
          <w:i/>
          <w:lang w:val="el-GR"/>
        </w:rPr>
        <w:t xml:space="preserve">αιτημάτων καταβολής και ακολούθως η πληρωμή των επιχειρήσεων έχει ήδη πραγματοποιηθεί. Η δράση ΑΜΘ 100 ήταν με διαφορά  η μαζικότερη των δράσεων </w:t>
      </w:r>
      <w:r w:rsidR="0017320A">
        <w:rPr>
          <w:rFonts w:asciiTheme="minorHAnsi" w:hAnsiTheme="minorHAnsi" w:cstheme="minorHAnsi"/>
          <w:i/>
        </w:rPr>
        <w:t>covid</w:t>
      </w:r>
      <w:r w:rsidR="0017320A" w:rsidRPr="0017320A">
        <w:rPr>
          <w:rFonts w:asciiTheme="minorHAnsi" w:hAnsiTheme="minorHAnsi" w:cstheme="minorHAnsi"/>
          <w:i/>
          <w:lang w:val="el-GR"/>
        </w:rPr>
        <w:t xml:space="preserve"> </w:t>
      </w:r>
      <w:r w:rsidR="0017320A">
        <w:rPr>
          <w:rFonts w:asciiTheme="minorHAnsi" w:hAnsiTheme="minorHAnsi" w:cstheme="minorHAnsi"/>
          <w:i/>
          <w:lang w:val="el-GR"/>
        </w:rPr>
        <w:t>πανελλαδικά, με υπερδιπλάσιες εντάξεις</w:t>
      </w:r>
      <w:r w:rsidR="00DC273B">
        <w:rPr>
          <w:rFonts w:asciiTheme="minorHAnsi" w:hAnsiTheme="minorHAnsi" w:cstheme="minorHAnsi"/>
          <w:i/>
          <w:lang w:val="el-GR"/>
        </w:rPr>
        <w:t xml:space="preserve"> και πληρωμές</w:t>
      </w:r>
      <w:r w:rsidR="0018494A">
        <w:rPr>
          <w:rFonts w:asciiTheme="minorHAnsi" w:hAnsiTheme="minorHAnsi" w:cstheme="minorHAnsi"/>
          <w:i/>
          <w:lang w:val="el-GR"/>
        </w:rPr>
        <w:t xml:space="preserve"> από κάθε άλλη περιφέρεια της χώρας</w:t>
      </w:r>
      <w:r w:rsidR="00D04237">
        <w:rPr>
          <w:rFonts w:asciiTheme="minorHAnsi" w:hAnsiTheme="minorHAnsi" w:cstheme="minorHAnsi"/>
          <w:i/>
          <w:lang w:val="el-GR"/>
        </w:rPr>
        <w:t>. Μια μεγάλη πρόκληση για τον ΕΦΕΠΑΕ</w:t>
      </w:r>
      <w:r w:rsidR="00DC273B">
        <w:rPr>
          <w:rFonts w:asciiTheme="minorHAnsi" w:hAnsiTheme="minorHAnsi" w:cstheme="minorHAnsi"/>
          <w:i/>
          <w:lang w:val="el-GR"/>
        </w:rPr>
        <w:t xml:space="preserve">, καθώς </w:t>
      </w:r>
      <w:r w:rsidR="00D04237">
        <w:rPr>
          <w:rFonts w:asciiTheme="minorHAnsi" w:hAnsiTheme="minorHAnsi" w:cstheme="minorHAnsi"/>
          <w:i/>
          <w:lang w:val="el-GR"/>
        </w:rPr>
        <w:t xml:space="preserve">ανέλαβε </w:t>
      </w:r>
      <w:r w:rsidR="00DC273B">
        <w:rPr>
          <w:rFonts w:asciiTheme="minorHAnsi" w:hAnsiTheme="minorHAnsi" w:cstheme="minorHAnsi"/>
          <w:i/>
          <w:lang w:val="el-GR"/>
        </w:rPr>
        <w:t xml:space="preserve">τη δράση σε ένα </w:t>
      </w:r>
      <w:r w:rsidR="00D04237">
        <w:rPr>
          <w:rFonts w:asciiTheme="minorHAnsi" w:hAnsiTheme="minorHAnsi" w:cstheme="minorHAnsi"/>
          <w:i/>
          <w:lang w:val="el-GR"/>
        </w:rPr>
        <w:t xml:space="preserve"> πρώιμο στάδιο</w:t>
      </w:r>
      <w:r w:rsidR="00DC273B">
        <w:rPr>
          <w:rFonts w:asciiTheme="minorHAnsi" w:hAnsiTheme="minorHAnsi" w:cstheme="minorHAnsi"/>
          <w:i/>
          <w:lang w:val="el-GR"/>
        </w:rPr>
        <w:t>, για</w:t>
      </w:r>
      <w:r w:rsidR="00D04237">
        <w:rPr>
          <w:rFonts w:asciiTheme="minorHAnsi" w:hAnsiTheme="minorHAnsi" w:cstheme="minorHAnsi"/>
          <w:i/>
          <w:lang w:val="el-GR"/>
        </w:rPr>
        <w:t xml:space="preserve"> να τη διαχειριστεί και να τη φέρει εις πέρας. </w:t>
      </w:r>
    </w:p>
    <w:p w14:paraId="732CA14E" w14:textId="60B18BAD" w:rsidR="00A130A6" w:rsidRPr="000C0AE3" w:rsidRDefault="00BB56E9" w:rsidP="00CB1D19">
      <w:pPr>
        <w:ind w:left="-284"/>
        <w:jc w:val="both"/>
        <w:rPr>
          <w:rFonts w:asciiTheme="minorHAnsi" w:hAnsiTheme="minorHAnsi" w:cstheme="minorHAnsi"/>
          <w:i/>
          <w:lang w:val="el-GR"/>
        </w:rPr>
      </w:pPr>
      <w:r>
        <w:rPr>
          <w:rFonts w:asciiTheme="minorHAnsi" w:hAnsiTheme="minorHAnsi" w:cstheme="minorHAnsi"/>
          <w:i/>
          <w:lang w:val="el-GR"/>
        </w:rPr>
        <w:t>Με τη στήριξη του Υπουργείου Ανάπτυξης &amp; Επενδύσεων, σ</w:t>
      </w:r>
      <w:r w:rsidR="00D04237">
        <w:rPr>
          <w:rFonts w:asciiTheme="minorHAnsi" w:hAnsiTheme="minorHAnsi" w:cstheme="minorHAnsi"/>
          <w:i/>
          <w:lang w:val="el-GR"/>
        </w:rPr>
        <w:t>ε αγαστή συνεργασία με την αρμόδια διαχειριστική ΕΥΔΕΠ ΠΑΜΘ, την</w:t>
      </w:r>
      <w:r>
        <w:rPr>
          <w:rFonts w:asciiTheme="minorHAnsi" w:hAnsiTheme="minorHAnsi" w:cstheme="minorHAnsi"/>
          <w:i/>
          <w:lang w:val="el-GR"/>
        </w:rPr>
        <w:t xml:space="preserve"> εμπιστοσύνη</w:t>
      </w:r>
      <w:r w:rsidR="00D04237">
        <w:rPr>
          <w:rFonts w:asciiTheme="minorHAnsi" w:hAnsiTheme="minorHAnsi" w:cstheme="minorHAnsi"/>
          <w:i/>
          <w:lang w:val="el-GR"/>
        </w:rPr>
        <w:t xml:space="preserve"> της </w:t>
      </w:r>
      <w:r w:rsidR="003300C3">
        <w:rPr>
          <w:rFonts w:asciiTheme="minorHAnsi" w:hAnsiTheme="minorHAnsi" w:cstheme="minorHAnsi"/>
          <w:i/>
          <w:lang w:val="el-GR"/>
        </w:rPr>
        <w:t>Π</w:t>
      </w:r>
      <w:r w:rsidR="00D04237">
        <w:rPr>
          <w:rFonts w:asciiTheme="minorHAnsi" w:hAnsiTheme="minorHAnsi" w:cstheme="minorHAnsi"/>
          <w:i/>
          <w:lang w:val="el-GR"/>
        </w:rPr>
        <w:t>εριφέρεια</w:t>
      </w:r>
      <w:r>
        <w:rPr>
          <w:rFonts w:asciiTheme="minorHAnsi" w:hAnsiTheme="minorHAnsi" w:cstheme="minorHAnsi"/>
          <w:i/>
          <w:lang w:val="el-GR"/>
        </w:rPr>
        <w:t xml:space="preserve"> και των επιμελητηρίων</w:t>
      </w:r>
      <w:r w:rsidR="00D04237">
        <w:rPr>
          <w:rFonts w:asciiTheme="minorHAnsi" w:hAnsiTheme="minorHAnsi" w:cstheme="minorHAnsi"/>
          <w:i/>
          <w:lang w:val="el-GR"/>
        </w:rPr>
        <w:t>, την</w:t>
      </w:r>
      <w:r w:rsidR="00331F4D">
        <w:rPr>
          <w:rFonts w:asciiTheme="minorHAnsi" w:hAnsiTheme="minorHAnsi" w:cstheme="minorHAnsi"/>
          <w:i/>
          <w:lang w:val="el-GR"/>
        </w:rPr>
        <w:t xml:space="preserve"> ανταπόκριση</w:t>
      </w:r>
      <w:r w:rsidR="00D04237">
        <w:rPr>
          <w:rFonts w:asciiTheme="minorHAnsi" w:hAnsiTheme="minorHAnsi" w:cstheme="minorHAnsi"/>
          <w:i/>
          <w:lang w:val="el-GR"/>
        </w:rPr>
        <w:t xml:space="preserve"> των δικαιούχων και φυσικά την άοκνη </w:t>
      </w:r>
      <w:r w:rsidR="00DA540E">
        <w:rPr>
          <w:rFonts w:asciiTheme="minorHAnsi" w:hAnsiTheme="minorHAnsi" w:cstheme="minorHAnsi"/>
          <w:i/>
          <w:lang w:val="el-GR"/>
        </w:rPr>
        <w:t>εργασία</w:t>
      </w:r>
      <w:r w:rsidR="00D04237">
        <w:rPr>
          <w:rFonts w:asciiTheme="minorHAnsi" w:hAnsiTheme="minorHAnsi" w:cstheme="minorHAnsi"/>
          <w:i/>
          <w:lang w:val="el-GR"/>
        </w:rPr>
        <w:t xml:space="preserve"> των </w:t>
      </w:r>
      <w:r w:rsidR="00DA540E">
        <w:rPr>
          <w:rFonts w:asciiTheme="minorHAnsi" w:hAnsiTheme="minorHAnsi" w:cstheme="minorHAnsi"/>
          <w:i/>
          <w:lang w:val="el-GR"/>
        </w:rPr>
        <w:t>στελεχών</w:t>
      </w:r>
      <w:r w:rsidR="00D04237">
        <w:rPr>
          <w:rFonts w:asciiTheme="minorHAnsi" w:hAnsiTheme="minorHAnsi" w:cstheme="minorHAnsi"/>
          <w:i/>
          <w:lang w:val="el-GR"/>
        </w:rPr>
        <w:t xml:space="preserve"> του φορέα</w:t>
      </w:r>
      <w:r w:rsidR="00331F4D">
        <w:rPr>
          <w:rFonts w:asciiTheme="minorHAnsi" w:hAnsiTheme="minorHAnsi" w:cstheme="minorHAnsi"/>
          <w:i/>
          <w:lang w:val="el-GR"/>
        </w:rPr>
        <w:t>,</w:t>
      </w:r>
      <w:r w:rsidR="00D04237">
        <w:rPr>
          <w:rFonts w:asciiTheme="minorHAnsi" w:hAnsiTheme="minorHAnsi" w:cstheme="minorHAnsi"/>
          <w:i/>
          <w:lang w:val="el-GR"/>
        </w:rPr>
        <w:t xml:space="preserve"> είμαι στην ευχάριστη θέση να πω ότι και αυτό το σημαντικό έργο για την </w:t>
      </w:r>
      <w:r w:rsidR="00DA540E">
        <w:rPr>
          <w:rFonts w:asciiTheme="minorHAnsi" w:hAnsiTheme="minorHAnsi" w:cstheme="minorHAnsi"/>
          <w:i/>
          <w:lang w:val="el-GR"/>
        </w:rPr>
        <w:t>ενίσχυση</w:t>
      </w:r>
      <w:r w:rsidR="00D04237">
        <w:rPr>
          <w:rFonts w:asciiTheme="minorHAnsi" w:hAnsiTheme="minorHAnsi" w:cstheme="minorHAnsi"/>
          <w:i/>
          <w:lang w:val="el-GR"/>
        </w:rPr>
        <w:t xml:space="preserve"> των </w:t>
      </w:r>
      <w:r w:rsidR="00DA540E">
        <w:rPr>
          <w:rFonts w:asciiTheme="minorHAnsi" w:hAnsiTheme="minorHAnsi" w:cstheme="minorHAnsi"/>
          <w:i/>
          <w:lang w:val="el-GR"/>
        </w:rPr>
        <w:t xml:space="preserve">επιχειρήσεων </w:t>
      </w:r>
      <w:r w:rsidR="00D04237">
        <w:rPr>
          <w:rFonts w:asciiTheme="minorHAnsi" w:hAnsiTheme="minorHAnsi" w:cstheme="minorHAnsi"/>
          <w:i/>
          <w:lang w:val="el-GR"/>
        </w:rPr>
        <w:t>θα ολοκληρωθεί</w:t>
      </w:r>
      <w:r w:rsidR="0023770F">
        <w:rPr>
          <w:rFonts w:asciiTheme="minorHAnsi" w:hAnsiTheme="minorHAnsi" w:cstheme="minorHAnsi"/>
          <w:i/>
          <w:lang w:val="el-GR"/>
        </w:rPr>
        <w:t xml:space="preserve"> σύντομα</w:t>
      </w:r>
      <w:r w:rsidR="00DA540E">
        <w:rPr>
          <w:rFonts w:asciiTheme="minorHAnsi" w:hAnsiTheme="minorHAnsi" w:cstheme="minorHAnsi"/>
          <w:i/>
          <w:lang w:val="el-GR"/>
        </w:rPr>
        <w:t xml:space="preserve">, παρά τις όποιες </w:t>
      </w:r>
      <w:r w:rsidR="0017223D">
        <w:rPr>
          <w:rFonts w:asciiTheme="minorHAnsi" w:hAnsiTheme="minorHAnsi" w:cstheme="minorHAnsi"/>
          <w:i/>
          <w:lang w:val="el-GR"/>
        </w:rPr>
        <w:t>δυσκολίες</w:t>
      </w:r>
      <w:r w:rsidR="00DA540E">
        <w:rPr>
          <w:rFonts w:asciiTheme="minorHAnsi" w:hAnsiTheme="minorHAnsi" w:cstheme="minorHAnsi"/>
          <w:i/>
          <w:lang w:val="el-GR"/>
        </w:rPr>
        <w:t xml:space="preserve">, με θετικό πρόσημο». </w:t>
      </w:r>
      <w:r w:rsidR="00D04237">
        <w:rPr>
          <w:rFonts w:asciiTheme="minorHAnsi" w:hAnsiTheme="minorHAnsi" w:cstheme="minorHAnsi"/>
          <w:i/>
          <w:lang w:val="el-GR"/>
        </w:rPr>
        <w:t xml:space="preserve"> </w:t>
      </w:r>
    </w:p>
    <w:p w14:paraId="12352A18" w14:textId="77777777" w:rsidR="00A130A6" w:rsidRPr="000C0AE3" w:rsidRDefault="00A130A6" w:rsidP="006A2774">
      <w:pPr>
        <w:ind w:left="-284"/>
        <w:jc w:val="both"/>
        <w:rPr>
          <w:rFonts w:asciiTheme="minorHAnsi" w:hAnsiTheme="minorHAnsi" w:cstheme="minorHAnsi"/>
          <w:lang w:val="el-GR"/>
        </w:rPr>
      </w:pPr>
    </w:p>
    <w:bookmarkEnd w:id="0"/>
    <w:p w14:paraId="1E96FE3B" w14:textId="5B1814B0" w:rsidR="00F81388" w:rsidRPr="004A36D1" w:rsidRDefault="00F81388" w:rsidP="004A36D1">
      <w:pPr>
        <w:ind w:left="-284"/>
        <w:jc w:val="both"/>
        <w:rPr>
          <w:rFonts w:asciiTheme="minorHAnsi" w:hAnsiTheme="minorHAnsi" w:cstheme="minorHAnsi"/>
          <w:i/>
          <w:sz w:val="22"/>
          <w:szCs w:val="22"/>
          <w:lang w:val="el-GR"/>
        </w:rPr>
      </w:pPr>
    </w:p>
    <w:sectPr w:rsidR="00F81388" w:rsidRPr="004A36D1" w:rsidSect="00991790">
      <w:headerReference w:type="default" r:id="rId8"/>
      <w:footerReference w:type="default" r:id="rId9"/>
      <w:pgSz w:w="11906" w:h="16838"/>
      <w:pgMar w:top="1701" w:right="849" w:bottom="709" w:left="993" w:header="708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3FB7" w14:textId="77777777" w:rsidR="007851D9" w:rsidRDefault="007851D9" w:rsidP="00404D2B">
      <w:r>
        <w:separator/>
      </w:r>
    </w:p>
  </w:endnote>
  <w:endnote w:type="continuationSeparator" w:id="0">
    <w:p w14:paraId="1519C010" w14:textId="77777777" w:rsidR="007851D9" w:rsidRDefault="007851D9" w:rsidP="0040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FEF" w14:textId="260C8A64" w:rsidR="008F4178" w:rsidRDefault="00991790">
    <w:pPr>
      <w:pStyle w:val="a4"/>
      <w:jc w:val="right"/>
    </w:pPr>
    <w:r w:rsidRPr="00404D2B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7FE1304D" wp14:editId="4E13142D">
          <wp:simplePos x="0" y="0"/>
          <wp:positionH relativeFrom="margin">
            <wp:align>center</wp:align>
          </wp:positionH>
          <wp:positionV relativeFrom="paragraph">
            <wp:posOffset>-85725</wp:posOffset>
          </wp:positionV>
          <wp:extent cx="6934200" cy="845185"/>
          <wp:effectExtent l="0" t="0" r="0" b="0"/>
          <wp:wrapNone/>
          <wp:docPr id="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232624115"/>
        <w:docPartObj>
          <w:docPartGallery w:val="Page Numbers (Bottom of Page)"/>
          <w:docPartUnique/>
        </w:docPartObj>
      </w:sdtPr>
      <w:sdtEndPr/>
      <w:sdtContent>
        <w:r w:rsidR="008F4178">
          <w:fldChar w:fldCharType="begin"/>
        </w:r>
        <w:r w:rsidR="008F4178">
          <w:instrText>PAGE   \* MERGEFORMAT</w:instrText>
        </w:r>
        <w:r w:rsidR="008F4178">
          <w:fldChar w:fldCharType="separate"/>
        </w:r>
        <w:r w:rsidR="000648A3" w:rsidRPr="000648A3">
          <w:rPr>
            <w:noProof/>
            <w:lang w:val="el-GR"/>
          </w:rPr>
          <w:t>3</w:t>
        </w:r>
        <w:r w:rsidR="008F4178">
          <w:fldChar w:fldCharType="end"/>
        </w:r>
      </w:sdtContent>
    </w:sdt>
  </w:p>
  <w:p w14:paraId="6C343090" w14:textId="68556966" w:rsidR="00404D2B" w:rsidRDefault="00404D2B" w:rsidP="006E1951">
    <w:pPr>
      <w:pStyle w:val="a4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A3FF" w14:textId="77777777" w:rsidR="007851D9" w:rsidRDefault="007851D9" w:rsidP="00404D2B">
      <w:r>
        <w:separator/>
      </w:r>
    </w:p>
  </w:footnote>
  <w:footnote w:type="continuationSeparator" w:id="0">
    <w:p w14:paraId="2FD1CD24" w14:textId="77777777" w:rsidR="007851D9" w:rsidRDefault="007851D9" w:rsidP="0040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CCFC" w14:textId="03C0075A" w:rsidR="0010719A" w:rsidRDefault="0010719A">
    <w:pPr>
      <w:pStyle w:val="a3"/>
      <w:jc w:val="right"/>
    </w:pP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2F3ECAB4" wp14:editId="3784A9FA">
          <wp:simplePos x="0" y="0"/>
          <wp:positionH relativeFrom="column">
            <wp:posOffset>-123825</wp:posOffset>
          </wp:positionH>
          <wp:positionV relativeFrom="paragraph">
            <wp:posOffset>-229235</wp:posOffset>
          </wp:positionV>
          <wp:extent cx="2981325" cy="702895"/>
          <wp:effectExtent l="0" t="0" r="0" b="2540"/>
          <wp:wrapNone/>
          <wp:docPr id="35" name="Picture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Εικόνα που περιέχει κείμενο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7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35274620"/>
        <w:docPartObj>
          <w:docPartGallery w:val="Page Numbers (Top of Page)"/>
          <w:docPartUnique/>
        </w:docPartObj>
      </w:sdtPr>
      <w:sdtEndPr/>
      <w:sdtContent>
        <w:r>
          <w:rPr>
            <w:lang w:val="el-GR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-</w:t>
        </w:r>
      </w:sdtContent>
    </w:sdt>
  </w:p>
  <w:p w14:paraId="083FE0EE" w14:textId="1A881AE7" w:rsidR="00F52306" w:rsidRPr="0010719A" w:rsidRDefault="00F5230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4FB"/>
    <w:multiLevelType w:val="hybridMultilevel"/>
    <w:tmpl w:val="4048918A"/>
    <w:lvl w:ilvl="0" w:tplc="BDF0565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3662"/>
    <w:multiLevelType w:val="hybridMultilevel"/>
    <w:tmpl w:val="D254816A"/>
    <w:lvl w:ilvl="0" w:tplc="64B27772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3A37"/>
    <w:multiLevelType w:val="hybridMultilevel"/>
    <w:tmpl w:val="FCE2EC00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0FB6A9D"/>
    <w:multiLevelType w:val="hybridMultilevel"/>
    <w:tmpl w:val="193C92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EA3"/>
    <w:multiLevelType w:val="hybridMultilevel"/>
    <w:tmpl w:val="D7BAB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7963"/>
    <w:multiLevelType w:val="hybridMultilevel"/>
    <w:tmpl w:val="DBDC05EA"/>
    <w:lvl w:ilvl="0" w:tplc="4C0277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27CE"/>
    <w:multiLevelType w:val="hybridMultilevel"/>
    <w:tmpl w:val="8CA64048"/>
    <w:lvl w:ilvl="0" w:tplc="CF6877E2">
      <w:numFmt w:val="bullet"/>
      <w:lvlText w:val="-"/>
      <w:lvlJc w:val="left"/>
      <w:pPr>
        <w:ind w:left="7473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6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3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0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7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5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233" w:hanging="360"/>
      </w:pPr>
      <w:rPr>
        <w:rFonts w:ascii="Wingdings" w:hAnsi="Wingdings" w:hint="default"/>
      </w:rPr>
    </w:lvl>
  </w:abstractNum>
  <w:abstractNum w:abstractNumId="7" w15:restartNumberingAfterBreak="0">
    <w:nsid w:val="37C24F5D"/>
    <w:multiLevelType w:val="hybridMultilevel"/>
    <w:tmpl w:val="6F047D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373D6"/>
    <w:multiLevelType w:val="hybridMultilevel"/>
    <w:tmpl w:val="4EC2E9B2"/>
    <w:lvl w:ilvl="0" w:tplc="D7DEDA74">
      <w:start w:val="31"/>
      <w:numFmt w:val="bullet"/>
      <w:lvlText w:val=""/>
      <w:lvlJc w:val="left"/>
      <w:pPr>
        <w:ind w:left="76" w:hanging="360"/>
      </w:pPr>
      <w:rPr>
        <w:rFonts w:ascii="Wingdings" w:eastAsia="MS Mincho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B990D55"/>
    <w:multiLevelType w:val="multilevel"/>
    <w:tmpl w:val="6E588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402938"/>
    <w:multiLevelType w:val="hybridMultilevel"/>
    <w:tmpl w:val="2BC2384C"/>
    <w:lvl w:ilvl="0" w:tplc="62CA7580">
      <w:start w:val="2310"/>
      <w:numFmt w:val="bullet"/>
      <w:lvlText w:val="-"/>
      <w:lvlJc w:val="left"/>
      <w:pPr>
        <w:ind w:left="7560" w:hanging="360"/>
      </w:pPr>
      <w:rPr>
        <w:rFonts w:ascii="Cambria" w:eastAsia="MS Mincho" w:hAnsi="Cambria" w:cs="Times New Roman" w:hint="default"/>
      </w:rPr>
    </w:lvl>
    <w:lvl w:ilvl="1" w:tplc="0408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1" w15:restartNumberingAfterBreak="0">
    <w:nsid w:val="41576061"/>
    <w:multiLevelType w:val="hybridMultilevel"/>
    <w:tmpl w:val="3558F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52971"/>
    <w:multiLevelType w:val="hybridMultilevel"/>
    <w:tmpl w:val="26C2465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F21F3D"/>
    <w:multiLevelType w:val="hybridMultilevel"/>
    <w:tmpl w:val="4A2E2B50"/>
    <w:lvl w:ilvl="0" w:tplc="D3BEC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9E6"/>
    <w:multiLevelType w:val="hybridMultilevel"/>
    <w:tmpl w:val="2D5808E4"/>
    <w:lvl w:ilvl="0" w:tplc="F5B24B40">
      <w:start w:val="32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52350E4D"/>
    <w:multiLevelType w:val="hybridMultilevel"/>
    <w:tmpl w:val="CAC22BC4"/>
    <w:lvl w:ilvl="0" w:tplc="B8262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D2574"/>
    <w:multiLevelType w:val="hybridMultilevel"/>
    <w:tmpl w:val="FF1ECA2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7A277EE"/>
    <w:multiLevelType w:val="hybridMultilevel"/>
    <w:tmpl w:val="40961ECC"/>
    <w:lvl w:ilvl="0" w:tplc="7B7CA60A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114CB"/>
    <w:multiLevelType w:val="hybridMultilevel"/>
    <w:tmpl w:val="A646413E"/>
    <w:lvl w:ilvl="0" w:tplc="F14ED5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C45520E"/>
    <w:multiLevelType w:val="hybridMultilevel"/>
    <w:tmpl w:val="D7100714"/>
    <w:lvl w:ilvl="0" w:tplc="8AE01F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0E9738E"/>
    <w:multiLevelType w:val="hybridMultilevel"/>
    <w:tmpl w:val="BC20CBBC"/>
    <w:lvl w:ilvl="0" w:tplc="0408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1" w15:restartNumberingAfterBreak="0">
    <w:nsid w:val="7D736DD4"/>
    <w:multiLevelType w:val="multilevel"/>
    <w:tmpl w:val="5518EE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6"/>
  </w:num>
  <w:num w:numId="5">
    <w:abstractNumId w:val="17"/>
  </w:num>
  <w:num w:numId="6">
    <w:abstractNumId w:val="21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8"/>
  </w:num>
  <w:num w:numId="13">
    <w:abstractNumId w:val="4"/>
  </w:num>
  <w:num w:numId="14">
    <w:abstractNumId w:val="19"/>
  </w:num>
  <w:num w:numId="15">
    <w:abstractNumId w:val="12"/>
  </w:num>
  <w:num w:numId="16">
    <w:abstractNumId w:val="5"/>
  </w:num>
  <w:num w:numId="17">
    <w:abstractNumId w:val="14"/>
  </w:num>
  <w:num w:numId="18">
    <w:abstractNumId w:val="16"/>
  </w:num>
  <w:num w:numId="19">
    <w:abstractNumId w:val="2"/>
  </w:num>
  <w:num w:numId="20">
    <w:abstractNumId w:val="13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2"/>
    <w:rsid w:val="00001688"/>
    <w:rsid w:val="00002C5D"/>
    <w:rsid w:val="00007801"/>
    <w:rsid w:val="00010D7B"/>
    <w:rsid w:val="00012283"/>
    <w:rsid w:val="000136F9"/>
    <w:rsid w:val="0001675F"/>
    <w:rsid w:val="00017554"/>
    <w:rsid w:val="0002148B"/>
    <w:rsid w:val="000246B0"/>
    <w:rsid w:val="000252BC"/>
    <w:rsid w:val="00036675"/>
    <w:rsid w:val="00042769"/>
    <w:rsid w:val="00045BB5"/>
    <w:rsid w:val="00047B96"/>
    <w:rsid w:val="00053DCC"/>
    <w:rsid w:val="00061199"/>
    <w:rsid w:val="000631A3"/>
    <w:rsid w:val="000648A3"/>
    <w:rsid w:val="0006745C"/>
    <w:rsid w:val="00073EA3"/>
    <w:rsid w:val="0007639B"/>
    <w:rsid w:val="00081CCE"/>
    <w:rsid w:val="0008259A"/>
    <w:rsid w:val="00083D03"/>
    <w:rsid w:val="0009171F"/>
    <w:rsid w:val="000A4769"/>
    <w:rsid w:val="000B27DE"/>
    <w:rsid w:val="000B29BB"/>
    <w:rsid w:val="000B5A66"/>
    <w:rsid w:val="000C0AE3"/>
    <w:rsid w:val="000C1B58"/>
    <w:rsid w:val="000C7CF5"/>
    <w:rsid w:val="000D57AC"/>
    <w:rsid w:val="000E0159"/>
    <w:rsid w:val="000E0F0A"/>
    <w:rsid w:val="000E17FF"/>
    <w:rsid w:val="000E4801"/>
    <w:rsid w:val="000F3D22"/>
    <w:rsid w:val="00107159"/>
    <w:rsid w:val="0010719A"/>
    <w:rsid w:val="00110677"/>
    <w:rsid w:val="0011490F"/>
    <w:rsid w:val="0011524A"/>
    <w:rsid w:val="001207EF"/>
    <w:rsid w:val="0012169B"/>
    <w:rsid w:val="001226DB"/>
    <w:rsid w:val="001243DB"/>
    <w:rsid w:val="00124838"/>
    <w:rsid w:val="0012495A"/>
    <w:rsid w:val="00132140"/>
    <w:rsid w:val="001342B8"/>
    <w:rsid w:val="001349AF"/>
    <w:rsid w:val="0013531A"/>
    <w:rsid w:val="001449D7"/>
    <w:rsid w:val="00144ADD"/>
    <w:rsid w:val="00146D5C"/>
    <w:rsid w:val="00146F36"/>
    <w:rsid w:val="00154EB3"/>
    <w:rsid w:val="00171BF1"/>
    <w:rsid w:val="0017223D"/>
    <w:rsid w:val="0017320A"/>
    <w:rsid w:val="00174586"/>
    <w:rsid w:val="001753C9"/>
    <w:rsid w:val="00175402"/>
    <w:rsid w:val="0018343D"/>
    <w:rsid w:val="0018494A"/>
    <w:rsid w:val="00185BF2"/>
    <w:rsid w:val="001905CF"/>
    <w:rsid w:val="001921E7"/>
    <w:rsid w:val="001A0A16"/>
    <w:rsid w:val="001A5EA0"/>
    <w:rsid w:val="001B3541"/>
    <w:rsid w:val="001B59EA"/>
    <w:rsid w:val="001B7A0B"/>
    <w:rsid w:val="001C54BF"/>
    <w:rsid w:val="001D6A01"/>
    <w:rsid w:val="001D7459"/>
    <w:rsid w:val="001E2C01"/>
    <w:rsid w:val="001E649E"/>
    <w:rsid w:val="001E7022"/>
    <w:rsid w:val="001F07F3"/>
    <w:rsid w:val="001F0C9C"/>
    <w:rsid w:val="001F2474"/>
    <w:rsid w:val="002042E9"/>
    <w:rsid w:val="00207A90"/>
    <w:rsid w:val="002106B4"/>
    <w:rsid w:val="002109C6"/>
    <w:rsid w:val="00216C25"/>
    <w:rsid w:val="00216C9D"/>
    <w:rsid w:val="002173A0"/>
    <w:rsid w:val="00221CF1"/>
    <w:rsid w:val="00225508"/>
    <w:rsid w:val="00227B73"/>
    <w:rsid w:val="0023770F"/>
    <w:rsid w:val="002468C8"/>
    <w:rsid w:val="002510F3"/>
    <w:rsid w:val="0025577F"/>
    <w:rsid w:val="00256E48"/>
    <w:rsid w:val="00257770"/>
    <w:rsid w:val="00261A35"/>
    <w:rsid w:val="00265B8C"/>
    <w:rsid w:val="00275119"/>
    <w:rsid w:val="002757BA"/>
    <w:rsid w:val="002827C9"/>
    <w:rsid w:val="00286CCC"/>
    <w:rsid w:val="00290D2A"/>
    <w:rsid w:val="002921B9"/>
    <w:rsid w:val="002B0B52"/>
    <w:rsid w:val="002B0C5F"/>
    <w:rsid w:val="002B1E99"/>
    <w:rsid w:val="002B2D3F"/>
    <w:rsid w:val="002B774E"/>
    <w:rsid w:val="002C64F2"/>
    <w:rsid w:val="002C7217"/>
    <w:rsid w:val="002D2D0C"/>
    <w:rsid w:val="002D7891"/>
    <w:rsid w:val="002E7840"/>
    <w:rsid w:val="002F50BA"/>
    <w:rsid w:val="002F77BC"/>
    <w:rsid w:val="00311F76"/>
    <w:rsid w:val="00316185"/>
    <w:rsid w:val="00322A52"/>
    <w:rsid w:val="00330035"/>
    <w:rsid w:val="003300C3"/>
    <w:rsid w:val="00331F4D"/>
    <w:rsid w:val="003356F8"/>
    <w:rsid w:val="0033765F"/>
    <w:rsid w:val="0034312F"/>
    <w:rsid w:val="00343E67"/>
    <w:rsid w:val="00346120"/>
    <w:rsid w:val="00350365"/>
    <w:rsid w:val="00366C25"/>
    <w:rsid w:val="003748CB"/>
    <w:rsid w:val="0038174F"/>
    <w:rsid w:val="0038202C"/>
    <w:rsid w:val="003912F1"/>
    <w:rsid w:val="00392C56"/>
    <w:rsid w:val="003A2FB2"/>
    <w:rsid w:val="003A3B70"/>
    <w:rsid w:val="003A4B84"/>
    <w:rsid w:val="003A50BB"/>
    <w:rsid w:val="003B18E9"/>
    <w:rsid w:val="003B1DDB"/>
    <w:rsid w:val="003C13DA"/>
    <w:rsid w:val="003C2D95"/>
    <w:rsid w:val="003C6259"/>
    <w:rsid w:val="003C684B"/>
    <w:rsid w:val="003D242A"/>
    <w:rsid w:val="003D719B"/>
    <w:rsid w:val="003F66CE"/>
    <w:rsid w:val="00400B49"/>
    <w:rsid w:val="0040495C"/>
    <w:rsid w:val="00404D2B"/>
    <w:rsid w:val="004052ED"/>
    <w:rsid w:val="00406387"/>
    <w:rsid w:val="00406E96"/>
    <w:rsid w:val="00410F1A"/>
    <w:rsid w:val="004155F6"/>
    <w:rsid w:val="00427755"/>
    <w:rsid w:val="0043240C"/>
    <w:rsid w:val="00441BAC"/>
    <w:rsid w:val="004428B2"/>
    <w:rsid w:val="00442A2C"/>
    <w:rsid w:val="004434BC"/>
    <w:rsid w:val="004547C1"/>
    <w:rsid w:val="004557AF"/>
    <w:rsid w:val="00474AA6"/>
    <w:rsid w:val="00477D17"/>
    <w:rsid w:val="0048140E"/>
    <w:rsid w:val="00483150"/>
    <w:rsid w:val="00491373"/>
    <w:rsid w:val="004924D3"/>
    <w:rsid w:val="00494827"/>
    <w:rsid w:val="004964B6"/>
    <w:rsid w:val="004A0028"/>
    <w:rsid w:val="004A36D1"/>
    <w:rsid w:val="004A453D"/>
    <w:rsid w:val="004A6C46"/>
    <w:rsid w:val="004B0436"/>
    <w:rsid w:val="004B16C0"/>
    <w:rsid w:val="004C38C5"/>
    <w:rsid w:val="004D17E7"/>
    <w:rsid w:val="004D6C6D"/>
    <w:rsid w:val="004E0C7F"/>
    <w:rsid w:val="004F111D"/>
    <w:rsid w:val="004F1D4B"/>
    <w:rsid w:val="004F1F83"/>
    <w:rsid w:val="004F44A5"/>
    <w:rsid w:val="004F44E1"/>
    <w:rsid w:val="0050026F"/>
    <w:rsid w:val="00503449"/>
    <w:rsid w:val="0051703D"/>
    <w:rsid w:val="00524767"/>
    <w:rsid w:val="00527DA4"/>
    <w:rsid w:val="00531BA5"/>
    <w:rsid w:val="0053216E"/>
    <w:rsid w:val="0053259F"/>
    <w:rsid w:val="00536FD4"/>
    <w:rsid w:val="0054244F"/>
    <w:rsid w:val="0054281C"/>
    <w:rsid w:val="0054426D"/>
    <w:rsid w:val="00544D13"/>
    <w:rsid w:val="005521EF"/>
    <w:rsid w:val="00555BB8"/>
    <w:rsid w:val="00557F2E"/>
    <w:rsid w:val="00561FEC"/>
    <w:rsid w:val="00565695"/>
    <w:rsid w:val="005673B8"/>
    <w:rsid w:val="0057241B"/>
    <w:rsid w:val="00573D9E"/>
    <w:rsid w:val="00574A28"/>
    <w:rsid w:val="005756E7"/>
    <w:rsid w:val="00592FA4"/>
    <w:rsid w:val="00593D2F"/>
    <w:rsid w:val="005A33FF"/>
    <w:rsid w:val="005A5F38"/>
    <w:rsid w:val="005B058D"/>
    <w:rsid w:val="005B2ABF"/>
    <w:rsid w:val="005C428A"/>
    <w:rsid w:val="005D5894"/>
    <w:rsid w:val="005D60D2"/>
    <w:rsid w:val="005D6224"/>
    <w:rsid w:val="005E3E87"/>
    <w:rsid w:val="005E5AA2"/>
    <w:rsid w:val="005E72D0"/>
    <w:rsid w:val="005F1BF7"/>
    <w:rsid w:val="005F4AD7"/>
    <w:rsid w:val="005F4F7B"/>
    <w:rsid w:val="00600B5B"/>
    <w:rsid w:val="00601FD8"/>
    <w:rsid w:val="006206C1"/>
    <w:rsid w:val="00622B34"/>
    <w:rsid w:val="006361DD"/>
    <w:rsid w:val="00644EE4"/>
    <w:rsid w:val="0065499D"/>
    <w:rsid w:val="00657E4B"/>
    <w:rsid w:val="0066118C"/>
    <w:rsid w:val="006613CF"/>
    <w:rsid w:val="00661FEF"/>
    <w:rsid w:val="00681A8B"/>
    <w:rsid w:val="00681E2C"/>
    <w:rsid w:val="0068250E"/>
    <w:rsid w:val="006A1A06"/>
    <w:rsid w:val="006A20CE"/>
    <w:rsid w:val="006A2774"/>
    <w:rsid w:val="006A33B0"/>
    <w:rsid w:val="006A4242"/>
    <w:rsid w:val="006A4E40"/>
    <w:rsid w:val="006B0C6F"/>
    <w:rsid w:val="006B7ABB"/>
    <w:rsid w:val="006C0361"/>
    <w:rsid w:val="006C4211"/>
    <w:rsid w:val="006C63D2"/>
    <w:rsid w:val="006D115D"/>
    <w:rsid w:val="006D50F6"/>
    <w:rsid w:val="006E1951"/>
    <w:rsid w:val="006E7E34"/>
    <w:rsid w:val="006F1113"/>
    <w:rsid w:val="00707393"/>
    <w:rsid w:val="0071386A"/>
    <w:rsid w:val="00717137"/>
    <w:rsid w:val="007319F9"/>
    <w:rsid w:val="0073649F"/>
    <w:rsid w:val="0075524D"/>
    <w:rsid w:val="0075700B"/>
    <w:rsid w:val="007605B7"/>
    <w:rsid w:val="0077579B"/>
    <w:rsid w:val="007815F1"/>
    <w:rsid w:val="007851D9"/>
    <w:rsid w:val="007924EB"/>
    <w:rsid w:val="00796B9F"/>
    <w:rsid w:val="00796E69"/>
    <w:rsid w:val="007A2B15"/>
    <w:rsid w:val="007A4D3A"/>
    <w:rsid w:val="007A706C"/>
    <w:rsid w:val="007A796F"/>
    <w:rsid w:val="007A7AF6"/>
    <w:rsid w:val="007C1FF4"/>
    <w:rsid w:val="007D0617"/>
    <w:rsid w:val="007D7C60"/>
    <w:rsid w:val="007E02E3"/>
    <w:rsid w:val="007E05B3"/>
    <w:rsid w:val="007E0F61"/>
    <w:rsid w:val="007E1E38"/>
    <w:rsid w:val="007E301F"/>
    <w:rsid w:val="007E4D3E"/>
    <w:rsid w:val="007E7A4D"/>
    <w:rsid w:val="007F3E06"/>
    <w:rsid w:val="007F4745"/>
    <w:rsid w:val="0080669C"/>
    <w:rsid w:val="00810C6A"/>
    <w:rsid w:val="00810E20"/>
    <w:rsid w:val="00820ABE"/>
    <w:rsid w:val="00822FA5"/>
    <w:rsid w:val="00825277"/>
    <w:rsid w:val="008305C3"/>
    <w:rsid w:val="00831083"/>
    <w:rsid w:val="008412EE"/>
    <w:rsid w:val="0084525A"/>
    <w:rsid w:val="00852E78"/>
    <w:rsid w:val="008537A4"/>
    <w:rsid w:val="00867D1C"/>
    <w:rsid w:val="008746E5"/>
    <w:rsid w:val="00874B76"/>
    <w:rsid w:val="00885495"/>
    <w:rsid w:val="008943B8"/>
    <w:rsid w:val="008B27EB"/>
    <w:rsid w:val="008B2980"/>
    <w:rsid w:val="008B5729"/>
    <w:rsid w:val="008B66FB"/>
    <w:rsid w:val="008C2013"/>
    <w:rsid w:val="008D3C62"/>
    <w:rsid w:val="008D72A2"/>
    <w:rsid w:val="008E01D1"/>
    <w:rsid w:val="008E0424"/>
    <w:rsid w:val="008E1BB7"/>
    <w:rsid w:val="008F4178"/>
    <w:rsid w:val="00912855"/>
    <w:rsid w:val="009162E7"/>
    <w:rsid w:val="0092341A"/>
    <w:rsid w:val="009238A4"/>
    <w:rsid w:val="00923C3E"/>
    <w:rsid w:val="00926D25"/>
    <w:rsid w:val="0093711D"/>
    <w:rsid w:val="009414F8"/>
    <w:rsid w:val="009420F7"/>
    <w:rsid w:val="00944C54"/>
    <w:rsid w:val="00951B97"/>
    <w:rsid w:val="00952603"/>
    <w:rsid w:val="00971D74"/>
    <w:rsid w:val="00986DCD"/>
    <w:rsid w:val="00991790"/>
    <w:rsid w:val="00993A97"/>
    <w:rsid w:val="009950F7"/>
    <w:rsid w:val="009955A3"/>
    <w:rsid w:val="0099674D"/>
    <w:rsid w:val="00996F57"/>
    <w:rsid w:val="009A216A"/>
    <w:rsid w:val="009A3A0D"/>
    <w:rsid w:val="009A7FC7"/>
    <w:rsid w:val="009B0A9D"/>
    <w:rsid w:val="009B1BC4"/>
    <w:rsid w:val="009B59A6"/>
    <w:rsid w:val="009B67FA"/>
    <w:rsid w:val="009C30DC"/>
    <w:rsid w:val="009C35DE"/>
    <w:rsid w:val="009C6AC2"/>
    <w:rsid w:val="009D1053"/>
    <w:rsid w:val="009D6144"/>
    <w:rsid w:val="009E0AB5"/>
    <w:rsid w:val="009E3074"/>
    <w:rsid w:val="009E7324"/>
    <w:rsid w:val="009E7863"/>
    <w:rsid w:val="00A05225"/>
    <w:rsid w:val="00A130A6"/>
    <w:rsid w:val="00A13967"/>
    <w:rsid w:val="00A13FA0"/>
    <w:rsid w:val="00A21ECE"/>
    <w:rsid w:val="00A22B99"/>
    <w:rsid w:val="00A3124E"/>
    <w:rsid w:val="00A40EBB"/>
    <w:rsid w:val="00A504A3"/>
    <w:rsid w:val="00A541EA"/>
    <w:rsid w:val="00A554A6"/>
    <w:rsid w:val="00A613F8"/>
    <w:rsid w:val="00A7064C"/>
    <w:rsid w:val="00A83209"/>
    <w:rsid w:val="00A976E9"/>
    <w:rsid w:val="00AA24FA"/>
    <w:rsid w:val="00AA31DB"/>
    <w:rsid w:val="00AB4E19"/>
    <w:rsid w:val="00AB548B"/>
    <w:rsid w:val="00AD03D7"/>
    <w:rsid w:val="00AD18A0"/>
    <w:rsid w:val="00AD2E71"/>
    <w:rsid w:val="00AD6B29"/>
    <w:rsid w:val="00AF3653"/>
    <w:rsid w:val="00AF3A7A"/>
    <w:rsid w:val="00B01EC4"/>
    <w:rsid w:val="00B03842"/>
    <w:rsid w:val="00B0787B"/>
    <w:rsid w:val="00B105A6"/>
    <w:rsid w:val="00B11C92"/>
    <w:rsid w:val="00B20C03"/>
    <w:rsid w:val="00B22E45"/>
    <w:rsid w:val="00B25E4A"/>
    <w:rsid w:val="00B26A06"/>
    <w:rsid w:val="00B43BC5"/>
    <w:rsid w:val="00B70BA4"/>
    <w:rsid w:val="00B71C5A"/>
    <w:rsid w:val="00B72AAE"/>
    <w:rsid w:val="00B85295"/>
    <w:rsid w:val="00B8724D"/>
    <w:rsid w:val="00B87EB1"/>
    <w:rsid w:val="00B90828"/>
    <w:rsid w:val="00B90DFC"/>
    <w:rsid w:val="00BA2034"/>
    <w:rsid w:val="00BA2978"/>
    <w:rsid w:val="00BA49FD"/>
    <w:rsid w:val="00BA77A6"/>
    <w:rsid w:val="00BB2246"/>
    <w:rsid w:val="00BB37AC"/>
    <w:rsid w:val="00BB56E9"/>
    <w:rsid w:val="00BC1F12"/>
    <w:rsid w:val="00BD3E31"/>
    <w:rsid w:val="00BE000A"/>
    <w:rsid w:val="00BE3329"/>
    <w:rsid w:val="00BE4273"/>
    <w:rsid w:val="00BE76C5"/>
    <w:rsid w:val="00BF3C95"/>
    <w:rsid w:val="00C04D51"/>
    <w:rsid w:val="00C062FB"/>
    <w:rsid w:val="00C134E2"/>
    <w:rsid w:val="00C1577D"/>
    <w:rsid w:val="00C2110A"/>
    <w:rsid w:val="00C24132"/>
    <w:rsid w:val="00C27CFF"/>
    <w:rsid w:val="00C351B0"/>
    <w:rsid w:val="00C3586A"/>
    <w:rsid w:val="00C362EA"/>
    <w:rsid w:val="00C366F9"/>
    <w:rsid w:val="00C44EC1"/>
    <w:rsid w:val="00C456F3"/>
    <w:rsid w:val="00C627C3"/>
    <w:rsid w:val="00C67698"/>
    <w:rsid w:val="00C679FA"/>
    <w:rsid w:val="00C67E29"/>
    <w:rsid w:val="00C81929"/>
    <w:rsid w:val="00C8264B"/>
    <w:rsid w:val="00C83AD1"/>
    <w:rsid w:val="00C85BDD"/>
    <w:rsid w:val="00C85F61"/>
    <w:rsid w:val="00C91BC2"/>
    <w:rsid w:val="00C940A9"/>
    <w:rsid w:val="00C95467"/>
    <w:rsid w:val="00C967E1"/>
    <w:rsid w:val="00CA4080"/>
    <w:rsid w:val="00CB1C96"/>
    <w:rsid w:val="00CB1D19"/>
    <w:rsid w:val="00CC1981"/>
    <w:rsid w:val="00CC231A"/>
    <w:rsid w:val="00CC4E25"/>
    <w:rsid w:val="00CC6CD1"/>
    <w:rsid w:val="00CD5241"/>
    <w:rsid w:val="00CE0A76"/>
    <w:rsid w:val="00CE0DE4"/>
    <w:rsid w:val="00CF043A"/>
    <w:rsid w:val="00CF4348"/>
    <w:rsid w:val="00CF79AF"/>
    <w:rsid w:val="00CF7DB7"/>
    <w:rsid w:val="00D04237"/>
    <w:rsid w:val="00D126A9"/>
    <w:rsid w:val="00D215D7"/>
    <w:rsid w:val="00D2347A"/>
    <w:rsid w:val="00D25C20"/>
    <w:rsid w:val="00D2690C"/>
    <w:rsid w:val="00D3696D"/>
    <w:rsid w:val="00D416C1"/>
    <w:rsid w:val="00D4615A"/>
    <w:rsid w:val="00D741A1"/>
    <w:rsid w:val="00D825FC"/>
    <w:rsid w:val="00D85FF3"/>
    <w:rsid w:val="00D96A17"/>
    <w:rsid w:val="00DA540E"/>
    <w:rsid w:val="00DB255D"/>
    <w:rsid w:val="00DC04AE"/>
    <w:rsid w:val="00DC273B"/>
    <w:rsid w:val="00DC770E"/>
    <w:rsid w:val="00DD15A7"/>
    <w:rsid w:val="00DD6113"/>
    <w:rsid w:val="00DE5FBD"/>
    <w:rsid w:val="00DF206D"/>
    <w:rsid w:val="00DF330D"/>
    <w:rsid w:val="00E0261B"/>
    <w:rsid w:val="00E16290"/>
    <w:rsid w:val="00E1637E"/>
    <w:rsid w:val="00E203DD"/>
    <w:rsid w:val="00E2538F"/>
    <w:rsid w:val="00E407F8"/>
    <w:rsid w:val="00E43D2E"/>
    <w:rsid w:val="00E50CF0"/>
    <w:rsid w:val="00E55E2B"/>
    <w:rsid w:val="00E6132D"/>
    <w:rsid w:val="00E67CA7"/>
    <w:rsid w:val="00E74235"/>
    <w:rsid w:val="00E761FB"/>
    <w:rsid w:val="00E85D5A"/>
    <w:rsid w:val="00E92849"/>
    <w:rsid w:val="00E9707C"/>
    <w:rsid w:val="00EA1BB7"/>
    <w:rsid w:val="00EA3A5C"/>
    <w:rsid w:val="00EA5ECA"/>
    <w:rsid w:val="00EB129D"/>
    <w:rsid w:val="00EB5504"/>
    <w:rsid w:val="00EB6C3D"/>
    <w:rsid w:val="00EC20B6"/>
    <w:rsid w:val="00EC5C98"/>
    <w:rsid w:val="00ED1472"/>
    <w:rsid w:val="00ED28B8"/>
    <w:rsid w:val="00ED7096"/>
    <w:rsid w:val="00EE3E78"/>
    <w:rsid w:val="00EF35EE"/>
    <w:rsid w:val="00EF760D"/>
    <w:rsid w:val="00F04DB1"/>
    <w:rsid w:val="00F05100"/>
    <w:rsid w:val="00F217FF"/>
    <w:rsid w:val="00F2269F"/>
    <w:rsid w:val="00F35357"/>
    <w:rsid w:val="00F4216A"/>
    <w:rsid w:val="00F4403A"/>
    <w:rsid w:val="00F52306"/>
    <w:rsid w:val="00F6119D"/>
    <w:rsid w:val="00F6554A"/>
    <w:rsid w:val="00F664DC"/>
    <w:rsid w:val="00F66BB3"/>
    <w:rsid w:val="00F677D2"/>
    <w:rsid w:val="00F81388"/>
    <w:rsid w:val="00F9211D"/>
    <w:rsid w:val="00F93DA7"/>
    <w:rsid w:val="00F948C5"/>
    <w:rsid w:val="00F965F8"/>
    <w:rsid w:val="00FA09E0"/>
    <w:rsid w:val="00FA2151"/>
    <w:rsid w:val="00FA7A83"/>
    <w:rsid w:val="00FB0F75"/>
    <w:rsid w:val="00FB2CC4"/>
    <w:rsid w:val="00FC008E"/>
    <w:rsid w:val="00FD34EF"/>
    <w:rsid w:val="00FD7EFE"/>
    <w:rsid w:val="00FE2099"/>
    <w:rsid w:val="00FE7D28"/>
    <w:rsid w:val="00FE7F56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04FC5"/>
  <w15:chartTrackingRefBased/>
  <w15:docId w15:val="{91A8B567-39E8-4288-8D87-575638EC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53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D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04D2B"/>
  </w:style>
  <w:style w:type="paragraph" w:styleId="a4">
    <w:name w:val="footer"/>
    <w:basedOn w:val="a"/>
    <w:link w:val="Char0"/>
    <w:uiPriority w:val="99"/>
    <w:unhideWhenUsed/>
    <w:rsid w:val="00404D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04D2B"/>
  </w:style>
  <w:style w:type="paragraph" w:styleId="a5">
    <w:name w:val="List Paragraph"/>
    <w:basedOn w:val="a"/>
    <w:uiPriority w:val="34"/>
    <w:qFormat/>
    <w:rsid w:val="006206C1"/>
    <w:pPr>
      <w:ind w:left="720"/>
    </w:pPr>
  </w:style>
  <w:style w:type="character" w:styleId="-">
    <w:name w:val="Hyperlink"/>
    <w:uiPriority w:val="99"/>
    <w:unhideWhenUsed/>
    <w:rsid w:val="006206C1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611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1BA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3E35-14DE-4499-B93B-34791C4D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PANTOS</dc:creator>
  <cp:keywords/>
  <dc:description/>
  <cp:lastModifiedBy>Παναγιώτου Σπύρος</cp:lastModifiedBy>
  <cp:revision>227</cp:revision>
  <cp:lastPrinted>2021-10-14T10:28:00Z</cp:lastPrinted>
  <dcterms:created xsi:type="dcterms:W3CDTF">2021-10-13T06:36:00Z</dcterms:created>
  <dcterms:modified xsi:type="dcterms:W3CDTF">2022-04-05T10:29:00Z</dcterms:modified>
</cp:coreProperties>
</file>