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A2E" w14:textId="3DE56ABD" w:rsidR="00B92054" w:rsidRPr="00B92054" w:rsidRDefault="00B92054" w:rsidP="00877698">
      <w:pPr>
        <w:shd w:val="clear" w:color="auto" w:fill="FFFFFF"/>
        <w:spacing w:after="0" w:line="240" w:lineRule="auto"/>
        <w:rPr>
          <w:rFonts w:eastAsia="Times New Roman"/>
          <w:b/>
          <w:bCs/>
          <w:color w:val="000000"/>
          <w:sz w:val="28"/>
          <w:szCs w:val="28"/>
          <w:lang w:val="el-GR" w:eastAsia="el-GR"/>
        </w:rPr>
      </w:pPr>
      <w:r w:rsidRPr="00B92054">
        <w:rPr>
          <w:b/>
          <w:bCs/>
          <w:color w:val="000000"/>
          <w:sz w:val="28"/>
          <w:szCs w:val="28"/>
          <w:shd w:val="clear" w:color="auto" w:fill="FFFFFF"/>
          <w:lang w:val="el-GR"/>
        </w:rPr>
        <w:t>Πρωτοβουλία για τη Διασφάλιση της Δημόσιας Διαχείρισης του Νερού</w:t>
      </w:r>
      <w:r w:rsidRPr="00B92054">
        <w:rPr>
          <w:b/>
          <w:bCs/>
          <w:color w:val="000000"/>
          <w:sz w:val="28"/>
          <w:szCs w:val="28"/>
          <w:shd w:val="clear" w:color="auto" w:fill="FFFFFF"/>
        </w:rPr>
        <w:t> </w:t>
      </w:r>
    </w:p>
    <w:p w14:paraId="54434DDB" w14:textId="43A4C0C8" w:rsid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22 ΜΑΡΤΙΟΥ – ΠΑΓΚΟΣΜΙΑ ΗΜΕΡΑ ΝΕΡΟΥ</w:t>
      </w:r>
    </w:p>
    <w:p w14:paraId="5900FCAC" w14:textId="46991435"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Ακόμα και το νερό στους ιδιώτες;</w:t>
      </w:r>
    </w:p>
    <w:p w14:paraId="48C7E39C" w14:textId="77777777" w:rsidR="00877698" w:rsidRPr="00877698" w:rsidRDefault="00877698" w:rsidP="00877698">
      <w:pPr>
        <w:shd w:val="clear" w:color="auto" w:fill="FFFFFF"/>
        <w:spacing w:after="0" w:line="240" w:lineRule="auto"/>
        <w:rPr>
          <w:rFonts w:eastAsia="Times New Roman"/>
          <w:color w:val="000000"/>
          <w:lang w:val="el-GR" w:eastAsia="el-GR"/>
        </w:rPr>
      </w:pPr>
    </w:p>
    <w:p w14:paraId="15EA382A"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Η βιώσιμη ανάπτυξη πρέπει να βασίζεται στην προστασία των υδάτινων πόρων και τη διασφάλισή τους για τις επόμενες γενιές. Η ανεξέλεγκτη καπιταλιστική ανάπτυξη θεωρεί εμπορεύσιμα όλα τα φυσικά και κοινωνικά αγαθά, με αποτέλεσμα, το περιβάλλον και το νερό να αποτελούν αντικείμενα υπερεκμετάλλευσης και υποβάθμισης, κυρίως για τις αδύναμες πολιτικά και οικονομικά κοινωνίες, κοινωνικές ομάδες και περιοχές.</w:t>
      </w:r>
    </w:p>
    <w:p w14:paraId="55796964"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Το νερό από μέσο επιβίωσης, φορέας πολιτισμού και όχημα ευημερίας, μεταβάλλεται σε μέσο πλουτισμού και εργαλείο μεγέθυνσης των ανισοτήτων και της αδικίας εις βάρος των αδύναμων αυτού του κόσμου.</w:t>
      </w:r>
    </w:p>
    <w:p w14:paraId="2DCCFBC5"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Το νερό είναι δημόσιο αγαθό. Η πρόσβαση στο νερό, στοιχείο απαραίτητο για τη ζωή και την υγεία. Το δικαίωμα στο νερό είναι απολύτως απαραίτητο για μια ζωή με αξιοπρέπεια.</w:t>
      </w:r>
    </w:p>
    <w:p w14:paraId="2BE37143" w14:textId="77777777" w:rsidR="00877698" w:rsidRPr="00877698" w:rsidRDefault="00877698" w:rsidP="00877698">
      <w:pPr>
        <w:numPr>
          <w:ilvl w:val="0"/>
          <w:numId w:val="1"/>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Η Συνθήκη «Ευρωπαϊκή Χάρτα για τις Υδάτινες Πηγές» του 2001, του Συμβουλίου της Ευρώπης, στο άρθρο 5 δεσμεύει τα ευρωπαϊκά κράτη, ότι «όλοι έχουν το δικαίωμα [πρόσβασης] σε μία επαρκή ποσότητα νερού για την εξυπηρέτηση των βασικών τους αναγκών»</w:t>
      </w:r>
    </w:p>
    <w:p w14:paraId="4F7CCFC3" w14:textId="77777777" w:rsidR="00877698" w:rsidRPr="00877698" w:rsidRDefault="00877698" w:rsidP="00877698">
      <w:pPr>
        <w:numPr>
          <w:ilvl w:val="0"/>
          <w:numId w:val="1"/>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Το Ψήφισμα 64/292 του 2010, της ΓΣ του ΟΗΕ, αναγνώρισε «το δικαίωμα στο ασφαλές και καθαρό πόσιμο νερό και στην υγιεινή ως ανθρώπινο δικαίωμα ουσιώδες για την πλήρη απόλαυση της ζωής και όλων των ανθρωπίνων δικαιωμάτων».</w:t>
      </w:r>
    </w:p>
    <w:p w14:paraId="023B3D11" w14:textId="77777777" w:rsidR="00877698" w:rsidRPr="00877698" w:rsidRDefault="00877698" w:rsidP="00877698">
      <w:pPr>
        <w:numPr>
          <w:ilvl w:val="0"/>
          <w:numId w:val="1"/>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Η ομόφωνη απόφαση A/HRC/15/L.14 του 2010, του Συμβούλιου Ανθρωπίνων Δικαιωμάτων επιβεβαίωσε ότι «το ανθρώπινο δικαίωμα στο ασφαλές πόσιμο νερό και στην υγιεινή πηγάζει από το δικαίωμα σε ένα επαρκές βιοτικό επίπεδο και σχετίζεται άρρηκτα […] με το δικαίωμα στη ζωή και την ανθρώπινη αξιοπρέπεια».</w:t>
      </w:r>
    </w:p>
    <w:p w14:paraId="35A264C2"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Η αδιάλειπτη πρόσβαση σε ποιοτικές υπηρεσίες ύδρευσης και αποχέτευσης είναι ζωτικό και θεμελιώδες ανθρώπινο και κοινωνικό δικαίωμα. Η ιδιωτικοποίησή τους παραβιάζει το Σύνταγμα και είναι καταφανώς ενάντια στα συμφέροντα της κοινωνίας.</w:t>
      </w:r>
    </w:p>
    <w:p w14:paraId="32002711"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Η Ολομέλεια του ΣτΕ με τις 190 -191/2022 αποφάσεις της έκρινε αντισυνταγματική τη μεταβίβαση της πλειοψηφίας των μετοχών των εταιρειών ύδρευσης (ΕΥΔΑΠ και ΕΥΑΘ) στην Ελληνική Εταιρεία Συμμετοχών και Περιουσίας.</w:t>
      </w:r>
    </w:p>
    <w:p w14:paraId="4AE797AF"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Η ΕΥΔΑΠ από την ίδρυση της (ν. 1068/1980 συγχώνευση της ΕΕΥ και ΟΑΠ), με την εμπειρία που απέκτησε και την τεχνογνωσία που κατέχει το προσωπικό της, έχει φροντίσει και φροντίζει για την αδιάλειπτη υδροδότηση και αποχέτευση της Πρωτεύουσας και του Λεκανοπεδίου Αττικής. Διαχειρίζεται προς όφελος των κατοίκων της Αττικής, τον πλήρη κύκλο του νερού που συνίσταται στα εξής:</w:t>
      </w:r>
    </w:p>
    <w:p w14:paraId="31B2EC9E" w14:textId="77777777" w:rsidR="00877698" w:rsidRPr="00877698" w:rsidRDefault="00877698" w:rsidP="00877698">
      <w:pPr>
        <w:numPr>
          <w:ilvl w:val="0"/>
          <w:numId w:val="2"/>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Την ορθολογική διαχείριση των αποθεμάτων νερού στους ταμιευτήρες (Εύηνος, Μόρνος, Υλίκη, Μαραθώνας και Γεωτρήσεις), την ασφαλή μεταφορά του μέσω των υδραγωγείων, είτε με βαρύτητα είτε μέσω άντλησης,</w:t>
      </w:r>
    </w:p>
    <w:p w14:paraId="382C2D49" w14:textId="77777777" w:rsidR="00877698" w:rsidRPr="00877698" w:rsidRDefault="00877698" w:rsidP="00877698">
      <w:pPr>
        <w:numPr>
          <w:ilvl w:val="0"/>
          <w:numId w:val="2"/>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την επεξεργασία του στις Μονάδες Επεξεργασίας Νερού (ΜΕΝ) ώστε να είναι άριστης ποιότητας,</w:t>
      </w:r>
    </w:p>
    <w:p w14:paraId="11D212BA" w14:textId="77777777" w:rsidR="00877698" w:rsidRPr="00877698" w:rsidRDefault="00877698" w:rsidP="00877698">
      <w:pPr>
        <w:numPr>
          <w:ilvl w:val="0"/>
          <w:numId w:val="2"/>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την αδιάλειπτη παροχή του σε κάθε βρύση, κάθε κατοίκου του λεκανοπεδίου και</w:t>
      </w:r>
    </w:p>
    <w:p w14:paraId="43252ECE" w14:textId="77777777" w:rsidR="00877698" w:rsidRPr="00877698" w:rsidRDefault="00877698" w:rsidP="00877698">
      <w:pPr>
        <w:numPr>
          <w:ilvl w:val="0"/>
          <w:numId w:val="2"/>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την παροχέτευσή του προς το δίκτυο αποχέτευσης, μετά τη χρήση του και από εκεί τη διοχέτευσή του στα Κέντρα Επεξεργασίας Λυμάτων (ΚΕΛ), όπου καθαρίζεται και επιστρέφεται καθαρό στο περιβάλλον.</w:t>
      </w:r>
    </w:p>
    <w:p w14:paraId="04816863"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Το Εξωτερικό Υδροδοτικό Σύστημα της Αθήνας και του λεκανοπέδιου της Αττικής έμεινε όρθιο για πολλές δεκαετίες και δεν σταμάτησε ούτε στις περιόδους λειψυδρίας, αστοχιών των υδραγωγείων (σήραγγα Γκιώνας 1986, υδραγωγείο Μόρνου το 1988 στην Ζάλτσα και το 2011 στους Ταξιάρχες Βοιωτίας), πανδημία Covid 19 (κορονοϊού) κ.α.</w:t>
      </w:r>
    </w:p>
    <w:p w14:paraId="738E3F61"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lastRenderedPageBreak/>
        <w:t>Η ομαλή και αδιάλειπτη υδροδότηση της Πρωτεύουσας και του Λεκανοπεδίου Αττικής, απειλείται με την απόφαση του Υπουργείου Υποδομών και Μεταφορών να παραχωρήσει σε ιδιώτες με ΣΔΙΤ τη Διαχείριση, Λειτουργία και συντήρηση του Εξωτερικού Υδροδοτικού Συστήματος (Ε.Υ.Σ.) Αθήνας.</w:t>
      </w:r>
    </w:p>
    <w:p w14:paraId="33226CE4"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Το γεγονός αυτό αποτελεί περαιτέρω τεμαχισμό της ενιαίας διαχείρισης του κύκλου του νερού της Αττικής και οδηγεί με μαθηματική ακρίβεια στην απαξίωση των υδραγωγείων μεταφοράς νερού, στην υποβάθμιση της ποιότητας του πόσιμου νερού, στην αύξηση της τιμής του νερού (διεθνής εμπειρία), αυξάνει την επισφάλεια στην ομαλή υδροδότηση και στα υδραγωγεία μεταφοράς νερού και προκαλεί αβεβαιότητα στο εργασιακό μέλλον των υπαλλήλων που επί σειρά ετών εργάζονται και προσφέρουν για την αδιάλειπτη λειτουργία του Εξωτερικού Υδροδοτικού Συστήματος της Αθήνας.</w:t>
      </w:r>
    </w:p>
    <w:p w14:paraId="4AB83C05"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Όλα τα έργα υποδομής για την ύδρευση και αποχέτευση της Πρωτεύουσας και του Λεκανοπεδίου Αττικής, χρηματοδοτήθηκαν επί δεκαετίες από τον Ελληνικό λαό.</w:t>
      </w:r>
    </w:p>
    <w:p w14:paraId="18E379D0" w14:textId="77777777" w:rsidR="00877698" w:rsidRPr="00877698" w:rsidRDefault="00877698" w:rsidP="00877698">
      <w:pPr>
        <w:numPr>
          <w:ilvl w:val="0"/>
          <w:numId w:val="3"/>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Απαιτούμε, η κυβέρνηση να λάβει σοβαρά υπόψη της, τις αποφάσεις του ΣτΕ για την απαγόρευση της αποξένωσης του κράτους από τον πλήρη έλεγχο της διαχείρισης του νερού.</w:t>
      </w:r>
    </w:p>
    <w:p w14:paraId="69C4ECEA" w14:textId="77777777" w:rsidR="00877698" w:rsidRPr="00877698" w:rsidRDefault="00877698" w:rsidP="00877698">
      <w:pPr>
        <w:numPr>
          <w:ilvl w:val="0"/>
          <w:numId w:val="3"/>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Επιστροφή ΤΩΡΑ των μετοχών της ΕΥΔΑΠ από το Υπερταμείο στο Κράτος.</w:t>
      </w:r>
    </w:p>
    <w:p w14:paraId="42C1AA5E" w14:textId="77777777" w:rsidR="00877698" w:rsidRPr="00877698" w:rsidRDefault="00877698" w:rsidP="00877698">
      <w:pPr>
        <w:numPr>
          <w:ilvl w:val="0"/>
          <w:numId w:val="3"/>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Ζητάμε άμεσα να σταματήσει η διαδικασία Εκποίησης του Εξωτερικού Υδροδοτικού Συστήματος (Ε.Υ.Σ) σε ιδιωτικά συμφέροντα.</w:t>
      </w:r>
    </w:p>
    <w:p w14:paraId="1AB1BE6E" w14:textId="77777777" w:rsidR="00877698" w:rsidRPr="00877698" w:rsidRDefault="00877698" w:rsidP="00877698">
      <w:pPr>
        <w:numPr>
          <w:ilvl w:val="0"/>
          <w:numId w:val="3"/>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Το νερό είναι κοινωνικό αγαθό και συνδέεται με την ύπαρξη και την ευημερία του ανθρώπου.</w:t>
      </w:r>
    </w:p>
    <w:p w14:paraId="2FE3331D" w14:textId="77777777" w:rsidR="00877698" w:rsidRPr="00877698" w:rsidRDefault="00877698" w:rsidP="00877698">
      <w:pPr>
        <w:numPr>
          <w:ilvl w:val="0"/>
          <w:numId w:val="3"/>
        </w:numPr>
        <w:shd w:val="clear" w:color="auto" w:fill="FFFFFF"/>
        <w:spacing w:after="0" w:line="240" w:lineRule="auto"/>
        <w:ind w:left="426"/>
        <w:rPr>
          <w:rFonts w:eastAsia="Times New Roman"/>
          <w:color w:val="000000"/>
          <w:lang w:val="el-GR" w:eastAsia="el-GR"/>
        </w:rPr>
      </w:pPr>
      <w:r w:rsidRPr="00877698">
        <w:rPr>
          <w:rFonts w:eastAsia="Times New Roman"/>
          <w:color w:val="000000"/>
          <w:lang w:val="el-GR" w:eastAsia="el-GR"/>
        </w:rPr>
        <w:t>Οι υπηρεσίες ύδρευσης-αποχέτευσης αποτελούν ζωτικό ανθρώπινο δικαίωμα.</w:t>
      </w:r>
    </w:p>
    <w:p w14:paraId="3A2CBF5E" w14:textId="77777777" w:rsidR="00877698" w:rsidRP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Καλούμε πολίτες, φορείς της Τοπικής Αυτοδιοίκησης, περιβαλλοντικές, καταναλωτικές και συνδικαλιστικές οργανώσεις, φορείς, πρωτοβουλίες και κινήσεις πολιτών, την εκκλησία, να συμβάλλουν στην διασφάλιση της δημόσιας διαχείρισης του νερού ως κοινού και κοινωνικού αγαθού, να αποτρέψουμε την παράδοση του ΕΥΣ στους ιδιώτες.</w:t>
      </w:r>
    </w:p>
    <w:p w14:paraId="61B65F33" w14:textId="65566D64" w:rsidR="00877698" w:rsidRDefault="00877698" w:rsidP="00877698">
      <w:pPr>
        <w:shd w:val="clear" w:color="auto" w:fill="FFFFFF"/>
        <w:spacing w:after="0" w:line="240" w:lineRule="auto"/>
        <w:rPr>
          <w:rFonts w:eastAsia="Times New Roman"/>
          <w:color w:val="000000"/>
          <w:lang w:val="el-GR" w:eastAsia="el-GR"/>
        </w:rPr>
      </w:pPr>
      <w:r w:rsidRPr="00877698">
        <w:rPr>
          <w:rFonts w:eastAsia="Times New Roman"/>
          <w:color w:val="000000"/>
          <w:lang w:val="el-GR" w:eastAsia="el-GR"/>
        </w:rPr>
        <w:t>ΔΗΛΩΣΤΕ ΣΥΜΜΕΤΟΧΗ ΣΤΗΝ ΠΡΩΤΟΒΟΥΛΙΑ:</w:t>
      </w:r>
    </w:p>
    <w:p w14:paraId="3FAF7A2F" w14:textId="77777777" w:rsidR="00E648DD" w:rsidRPr="00B60583" w:rsidRDefault="00E648DD" w:rsidP="00BE77B2">
      <w:pPr>
        <w:shd w:val="clear" w:color="auto" w:fill="FFFFFF"/>
        <w:spacing w:after="0" w:line="240" w:lineRule="auto"/>
        <w:rPr>
          <w:rFonts w:eastAsia="Times New Roman"/>
          <w:color w:val="000000"/>
          <w:lang w:val="el-GR" w:eastAsia="el-GR"/>
        </w:rPr>
      </w:pPr>
    </w:p>
    <w:p w14:paraId="28FCC5C2" w14:textId="77777777" w:rsidR="00E648DD" w:rsidRPr="00B60583" w:rsidRDefault="00E648DD" w:rsidP="00BE77B2">
      <w:pPr>
        <w:spacing w:after="0" w:line="240" w:lineRule="auto"/>
        <w:rPr>
          <w:color w:val="050505"/>
        </w:rPr>
      </w:pPr>
      <w:r w:rsidRPr="00B60583">
        <w:rPr>
          <w:color w:val="050505"/>
        </w:rPr>
        <w:t xml:space="preserve">site: </w:t>
      </w:r>
      <w:hyperlink r:id="rId5" w:history="1">
        <w:proofErr w:type="spellStart"/>
        <w:r w:rsidRPr="00B60583">
          <w:rPr>
            <w:rStyle w:val="-"/>
          </w:rPr>
          <w:t>protovoulia-dimosio-nero</w:t>
        </w:r>
        <w:proofErr w:type="spellEnd"/>
        <w:r w:rsidRPr="00B60583">
          <w:rPr>
            <w:rStyle w:val="-"/>
          </w:rPr>
          <w:t xml:space="preserve"> </w:t>
        </w:r>
      </w:hyperlink>
    </w:p>
    <w:p w14:paraId="043B741A" w14:textId="1DF779AF" w:rsidR="00E648DD" w:rsidRPr="00B60583" w:rsidRDefault="00E648DD" w:rsidP="00BE77B2">
      <w:pPr>
        <w:spacing w:after="0" w:line="240" w:lineRule="auto"/>
        <w:rPr>
          <w:color w:val="050505"/>
        </w:rPr>
      </w:pPr>
      <w:proofErr w:type="spellStart"/>
      <w:r w:rsidRPr="00B60583">
        <w:rPr>
          <w:color w:val="050505"/>
        </w:rPr>
        <w:t>f</w:t>
      </w:r>
      <w:r w:rsidR="00BE77B2">
        <w:rPr>
          <w:color w:val="050505"/>
        </w:rPr>
        <w:t>ace</w:t>
      </w:r>
      <w:r w:rsidRPr="00B60583">
        <w:rPr>
          <w:color w:val="050505"/>
        </w:rPr>
        <w:t>b</w:t>
      </w:r>
      <w:r w:rsidR="00BE77B2">
        <w:rPr>
          <w:color w:val="050505"/>
        </w:rPr>
        <w:t>ook</w:t>
      </w:r>
      <w:proofErr w:type="spellEnd"/>
      <w:r w:rsidRPr="00B60583">
        <w:rPr>
          <w:color w:val="050505"/>
        </w:rPr>
        <w:t xml:space="preserve">: </w:t>
      </w:r>
      <w:hyperlink r:id="rId6" w:history="1">
        <w:proofErr w:type="spellStart"/>
        <w:r w:rsidRPr="00B60583">
          <w:rPr>
            <w:rStyle w:val="-"/>
          </w:rPr>
          <w:t>dimosio</w:t>
        </w:r>
        <w:r w:rsidRPr="00B60583">
          <w:rPr>
            <w:rStyle w:val="-"/>
          </w:rPr>
          <w:t>n</w:t>
        </w:r>
        <w:r w:rsidRPr="00B60583">
          <w:rPr>
            <w:rStyle w:val="-"/>
          </w:rPr>
          <w:t>ero</w:t>
        </w:r>
        <w:proofErr w:type="spellEnd"/>
      </w:hyperlink>
    </w:p>
    <w:p w14:paraId="77E1CE00" w14:textId="77777777" w:rsidR="00E648DD" w:rsidRPr="00B60583" w:rsidRDefault="00E648DD" w:rsidP="00BE77B2">
      <w:pPr>
        <w:spacing w:after="0" w:line="240" w:lineRule="auto"/>
        <w:rPr>
          <w:color w:val="050505"/>
        </w:rPr>
      </w:pPr>
      <w:r w:rsidRPr="00B60583">
        <w:rPr>
          <w:color w:val="050505"/>
        </w:rPr>
        <w:t xml:space="preserve">twitter: </w:t>
      </w:r>
      <w:hyperlink r:id="rId7" w:history="1">
        <w:proofErr w:type="spellStart"/>
        <w:r w:rsidRPr="00B60583">
          <w:rPr>
            <w:rStyle w:val="-"/>
          </w:rPr>
          <w:t>DemosioGia</w:t>
        </w:r>
        <w:proofErr w:type="spellEnd"/>
      </w:hyperlink>
    </w:p>
    <w:p w14:paraId="67052E42" w14:textId="02D60635" w:rsidR="00877698" w:rsidRPr="00BE77B2" w:rsidRDefault="00E648DD" w:rsidP="00BE77B2">
      <w:pPr>
        <w:spacing w:after="0" w:line="240" w:lineRule="auto"/>
        <w:rPr>
          <w:color w:val="050505"/>
        </w:rPr>
      </w:pPr>
      <w:r w:rsidRPr="00B60583">
        <w:rPr>
          <w:color w:val="050505"/>
        </w:rPr>
        <w:t xml:space="preserve">email: </w:t>
      </w:r>
      <w:hyperlink r:id="rId8" w:history="1">
        <w:r w:rsidRPr="00B60583">
          <w:rPr>
            <w:rStyle w:val="-"/>
          </w:rPr>
          <w:t>protovoulia.dimosio.nero@gmail.com</w:t>
        </w:r>
      </w:hyperlink>
    </w:p>
    <w:sectPr w:rsidR="00877698" w:rsidRPr="00BE77B2" w:rsidSect="000457E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CCE"/>
    <w:multiLevelType w:val="multilevel"/>
    <w:tmpl w:val="91480EA8"/>
    <w:lvl w:ilvl="0">
      <w:start w:val="1"/>
      <w:numFmt w:val="bullet"/>
      <w:lvlText w:val=""/>
      <w:lvlJc w:val="left"/>
      <w:pPr>
        <w:tabs>
          <w:tab w:val="num" w:pos="45"/>
        </w:tabs>
        <w:ind w:left="45" w:hanging="360"/>
      </w:pPr>
      <w:rPr>
        <w:rFonts w:ascii="Symbol" w:hAnsi="Symbol" w:hint="default"/>
        <w:sz w:val="20"/>
      </w:rPr>
    </w:lvl>
    <w:lvl w:ilvl="1" w:tentative="1">
      <w:start w:val="1"/>
      <w:numFmt w:val="bullet"/>
      <w:lvlText w:val="o"/>
      <w:lvlJc w:val="left"/>
      <w:pPr>
        <w:tabs>
          <w:tab w:val="num" w:pos="765"/>
        </w:tabs>
        <w:ind w:left="765" w:hanging="360"/>
      </w:pPr>
      <w:rPr>
        <w:rFonts w:ascii="Courier New" w:hAnsi="Courier New" w:hint="default"/>
        <w:sz w:val="20"/>
      </w:rPr>
    </w:lvl>
    <w:lvl w:ilvl="2" w:tentative="1">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1" w15:restartNumberingAfterBreak="0">
    <w:nsid w:val="550B3FE3"/>
    <w:multiLevelType w:val="multilevel"/>
    <w:tmpl w:val="563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B0C4B"/>
    <w:multiLevelType w:val="multilevel"/>
    <w:tmpl w:val="94E8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98"/>
    <w:rsid w:val="000457EE"/>
    <w:rsid w:val="002F263C"/>
    <w:rsid w:val="00877698"/>
    <w:rsid w:val="00AB5324"/>
    <w:rsid w:val="00B60583"/>
    <w:rsid w:val="00B92054"/>
    <w:rsid w:val="00BE77B2"/>
    <w:rsid w:val="00E648DD"/>
    <w:rsid w:val="00F0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6837"/>
  <w15:chartTrackingRefBased/>
  <w15:docId w15:val="{A420FB8C-58B3-4106-AE64-E2CDF0C3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7698"/>
    <w:pPr>
      <w:spacing w:before="100" w:beforeAutospacing="1" w:after="100" w:afterAutospacing="1" w:line="240" w:lineRule="auto"/>
    </w:pPr>
    <w:rPr>
      <w:rFonts w:ascii="Times New Roman" w:eastAsia="Times New Roman" w:hAnsi="Times New Roman" w:cs="Times New Roman"/>
      <w:lang w:val="el-GR" w:eastAsia="el-GR"/>
    </w:rPr>
  </w:style>
  <w:style w:type="character" w:styleId="a3">
    <w:name w:val="Strong"/>
    <w:basedOn w:val="a0"/>
    <w:uiPriority w:val="22"/>
    <w:qFormat/>
    <w:rsid w:val="00877698"/>
    <w:rPr>
      <w:b/>
      <w:bCs/>
    </w:rPr>
  </w:style>
  <w:style w:type="character" w:styleId="a4">
    <w:name w:val="Emphasis"/>
    <w:basedOn w:val="a0"/>
    <w:uiPriority w:val="20"/>
    <w:qFormat/>
    <w:rsid w:val="00877698"/>
    <w:rPr>
      <w:i/>
      <w:iCs/>
    </w:rPr>
  </w:style>
  <w:style w:type="character" w:styleId="-">
    <w:name w:val="Hyperlink"/>
    <w:basedOn w:val="a0"/>
    <w:uiPriority w:val="99"/>
    <w:semiHidden/>
    <w:unhideWhenUsed/>
    <w:rsid w:val="00877698"/>
    <w:rPr>
      <w:color w:val="0000FF"/>
      <w:u w:val="single"/>
    </w:rPr>
  </w:style>
  <w:style w:type="character" w:styleId="-0">
    <w:name w:val="FollowedHyperlink"/>
    <w:basedOn w:val="a0"/>
    <w:uiPriority w:val="99"/>
    <w:semiHidden/>
    <w:unhideWhenUsed/>
    <w:rsid w:val="00BE7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2511">
      <w:bodyDiv w:val="1"/>
      <w:marLeft w:val="0"/>
      <w:marRight w:val="0"/>
      <w:marTop w:val="0"/>
      <w:marBottom w:val="0"/>
      <w:divBdr>
        <w:top w:val="none" w:sz="0" w:space="0" w:color="auto"/>
        <w:left w:val="none" w:sz="0" w:space="0" w:color="auto"/>
        <w:bottom w:val="none" w:sz="0" w:space="0" w:color="auto"/>
        <w:right w:val="none" w:sz="0" w:space="0" w:color="auto"/>
      </w:divBdr>
    </w:div>
    <w:div w:id="16584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voulia.dimosio.nero@gmail.com" TargetMode="External"/><Relationship Id="rId3" Type="http://schemas.openxmlformats.org/officeDocument/2006/relationships/settings" Target="settings.xml"/><Relationship Id="rId7" Type="http://schemas.openxmlformats.org/officeDocument/2006/relationships/hyperlink" Target="https://twitter.com/Demosio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imosionero" TargetMode="External"/><Relationship Id="rId5" Type="http://schemas.openxmlformats.org/officeDocument/2006/relationships/hyperlink" Target="https://protovoulia-dimosio-ne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864</Words>
  <Characters>4667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ecorunner ecorunner</dc:creator>
  <cp:keywords/>
  <dc:description/>
  <cp:lastModifiedBy>ecorunner ecorunner</cp:lastModifiedBy>
  <cp:revision>7</cp:revision>
  <dcterms:created xsi:type="dcterms:W3CDTF">2022-03-20T20:47:00Z</dcterms:created>
  <dcterms:modified xsi:type="dcterms:W3CDTF">2022-03-21T09:24:00Z</dcterms:modified>
</cp:coreProperties>
</file>